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3E669" w14:textId="2195046B" w:rsidR="002E6D19" w:rsidRDefault="002E6D19" w:rsidP="002E6D19">
      <w:pPr>
        <w:pStyle w:val="Kop3"/>
      </w:pPr>
      <w:r w:rsidRPr="00F62F31">
        <w:t>Presentatiemodel</w:t>
      </w:r>
    </w:p>
    <w:p w14:paraId="6E85B35E" w14:textId="77777777" w:rsidR="00335CB1" w:rsidRDefault="00335CB1" w:rsidP="00335CB1">
      <w:r>
        <w:t xml:space="preserve">De inhoud van een omgevingsdocument dient kenbaar te zijn. Daarom moet een omgevingsdocument niet alleen machineleesbaar worden aangeboden, maar is ook een voor </w:t>
      </w:r>
      <w:r>
        <w:lastRenderedPageBreak/>
        <w:t>de mens te interpreteren presentatie noodzakelijk. Uitgangspunt is dat de tekst, de bijbehorende Locaties en de waarden die normen op de verschillende Locaties hebben zo overzichtelijk worden gepresenteerd dat de raadpleger ze kan interpreteren.</w:t>
      </w:r>
    </w:p>
    <w:p w14:paraId="1A3F06E0" w14:textId="77777777" w:rsidR="00335CB1" w:rsidRDefault="00335CB1" w:rsidP="00335CB1">
      <w:r>
        <w:t>Het presentatiemodel richt zich op de mensleesbare vorm van het presenteren. Onder presenteren verstaan we het weergeven en visualiseren van de inhoud van een besluit of regeling in een voorgedefinieerde vorm (gebruik van symbolen, kleur, lijndikte, arcering, karakterset) conform een afgesproken standaard. Het presentatiemodel beschrijft daarbij de wijze van presenteren van tekst, locaties en waarden en het presenteren van wijzigingen in een wijzigingsbesluit.</w:t>
      </w:r>
    </w:p>
    <w:p w14:paraId="7EF77E3C" w14:textId="77777777" w:rsidR="00335CB1" w:rsidRDefault="00335CB1" w:rsidP="00335CB1">
      <w:r>
        <w:t>De mensleesbare presentatie van tekst toont de hiërarchie van de structuurelementen van die tekst. De mensleesbare presentatie van Locaties maakt gebruik van de annotaties met IMOW-objecten, waardelijsten en symbolisatietabellen. Een symbolisatietabel bepaalt hoe Locaties en waarden op een kaartbeeld worden weergegeven door middel van vooraf vastgelegde symboliek waarmee een annotatie wordt gepresenteerd. Hierbij wordt een waarde uit een gesloten waardelijst aan de bijbehorende, afgesproken, symboolcode gekoppeld. Gebruik van de symbolisatietabel leidt tot een standaard, oftewel geharmoniseerde weergave. Het bevoegd gezag kan voor de officiële bekendmaking hiervan afwijken en een eigen symbolisatie kiezen.</w:t>
      </w:r>
    </w:p>
    <w:p w14:paraId="3D5F0727" w14:textId="277635B2" w:rsidR="002E6D19" w:rsidRDefault="00335CB1" w:rsidP="00335CB1">
      <w:r>
        <w:t>Naast de presentatie van tekst, Locaties en waarden legt het presentatiemodel ook vast hoe wijzigingen in een wijzigingsbesluit worden gepresenteerd. In een wijzigingsbesluit moet in mensleesbare, inzichtelijke en begrijpelijke vorm datgene getoond worden wat door het besluit verandert in de geconsolideerde Regeling; dit betreft zowel tekst, Locatie als waarden.</w:t>
      </w:r>
    </w:p>
    <w:p w14:paraId="7CF6BCB6" w14:textId="0D42C9AD" w:rsidR="00335CB1" w:rsidRPr="00377522" w:rsidRDefault="002528E1" w:rsidP="002528E1">
      <w:pPr>
        <w:pStyle w:val="Figuurbijschrift"/>
      </w:pPr>
      <w:r w:rsidRPr="002528E1">
        <w:lastRenderedPageBreak/>
        <w:t>Het concept van Regeltekst, Locatie, annoteren met IMOW-objecten en weergave d.m.v. het Presentatiemodel</w:t>
      </w:r>
      <w:r w:rsidR="004D3FD3">
        <w:rPr>
          <w:noProof/>
        </w:rPr>
        <w:drawing>
          <wp:anchor distT="0" distB="0" distL="114300" distR="114300" simplePos="0" relativeHeight="251658243" behindDoc="0" locked="0" layoutInCell="1" allowOverlap="1" wp14:anchorId="08DAA3CA" wp14:editId="63ACB382">
            <wp:simplePos x="0" y="0"/>
            <wp:positionH relativeFrom="column">
              <wp:posOffset>914</wp:posOffset>
            </wp:positionH>
            <wp:positionV relativeFrom="paragraph">
              <wp:posOffset>-584</wp:posOffset>
            </wp:positionV>
            <wp:extent cx="5401310" cy="6200140"/>
            <wp:effectExtent l="0" t="0" r="8890" b="0"/>
            <wp:wrapTopAndBottom/>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1310" cy="6200140"/>
                    </a:xfrm>
                    <a:prstGeom prst="rect">
                      <a:avLst/>
                    </a:prstGeom>
                    <a:noFill/>
                  </pic:spPr>
                </pic:pic>
              </a:graphicData>
            </a:graphic>
          </wp:anchor>
        </w:drawing>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24" Type="http://schemas.openxmlformats.org/officeDocument/2006/relationships/image" Target="media/image_bdc27a1d17ff493a3563cfdcdc71f4f8.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