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F5114" w14:textId="37B4ABE8" w:rsidR="006F1A47" w:rsidRDefault="006F1A47" w:rsidP="006F1A47">
      <w:pPr>
        <w:pStyle w:val="Kop5"/>
      </w:pPr>
      <w:r>
        <w:t>Toelichting op de toepassing</w:t>
      </w:r>
    </w:p>
    <w:p w14:paraId="4BAD516B" w14:textId="6767123A" w:rsidR="007946B3" w:rsidRDefault="007946B3" w:rsidP="007946B3">
      <w:r>
        <w:t xml:space="preserve">Tekstdeel is een conceptuele constructie, die in het Informatiemodel Omgevingswet wordt gebruikt om verschillende onderdelen van een Vrijetekst een eigen Locatie te kunnen geven. Met het IMOW-object Tekstdeel kan extra informatie aan het Tekstdeel worden gekoppeld: wat bijv. het thema is waarover het Tekstdeel gaat en met welk IMOW-object het Tekstdeel geannoteerd is. </w:t>
      </w:r>
      <w:r w:rsidR="003C3643" w:rsidRPr="003C3643">
        <w:t>Er kunnen meerdere Tekstdelen naar een FormeleDivisie verwijzen. Bij gelijksoortige annotaties zoals bijvoorbeeld verschillende Thema’s kan een enkel Tekstdeel gebruikt worden om alle Thema’s te huisvesten. Wanneer er verschillende annotaties gelden, bijvoorbeeld een Gebiedsaanwijzing en een Thema, moeten er verschillende Tekstdelen gebruikt worden in het kader van beheer zodat alle separate onderdelen apart versioneerbaar en muteerbaar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