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1D57" w14:textId="652219D9" w:rsidR="00581854" w:rsidRDefault="00581854" w:rsidP="00DD6209">
      <w:pPr>
        <w:pStyle w:val="Kop5"/>
      </w:pPr>
      <w:r>
        <w:t>Toelichting op de attributen en waardelijsten</w:t>
      </w:r>
    </w:p>
    <w:p w14:paraId="1F497CEE" w14:textId="46D61D9C"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Verkeer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614A86B5" w14:textId="1D0011F2" w:rsidR="00581854" w:rsidRDefault="00581854" w:rsidP="00DD6209">
      <w:pPr>
        <w:pStyle w:val="Opsommingtekens1"/>
      </w:pPr>
      <w:r w:rsidRPr="00DD6209">
        <w:rPr>
          <w:i/>
          <w:iCs/>
        </w:rPr>
        <w:t>naam</w:t>
      </w:r>
      <w:r>
        <w:t>: door het bevoegd gezag zelf te kiezen, er is geen waardelijst voor de naam van specifieke vormen van de Gebiedsaanwijzing Verkeer. De naam mag ook dezelfde zijn als de naam van de Verkeergroep.</w:t>
      </w:r>
    </w:p>
    <w:p w14:paraId="031EBC34" w14:textId="42F8AD2E" w:rsidR="00581854" w:rsidRDefault="00581854" w:rsidP="00DD6209">
      <w:pPr>
        <w:pStyle w:val="Opsommingtekens1"/>
      </w:pPr>
      <w:r w:rsidRPr="00DD6209">
        <w:rPr>
          <w:i/>
          <w:iCs/>
        </w:rPr>
        <w:t>groep</w:t>
      </w:r>
      <w:r>
        <w:t>: om een groot aantal verschillende specifieke vormen van de Gebiedsaanwijzing Verkeer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‘Verkeergroep’.</w:t>
      </w:r>
    </w:p>
    <w:p w14:paraId="4D26C053" w14:textId="1DB78233" w:rsidR="00581854" w:rsidRDefault="00581854" w:rsidP="00DD6209">
      <w:pPr>
        <w:pStyle w:val="Opsommingtekens1"/>
      </w:pPr>
      <w:r w:rsidRPr="00DD6209">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62AD1B27" w14:textId="77777777" w:rsidR="00581854" w:rsidRDefault="00581854" w:rsidP="00581854"/>
    <w:p w14:paraId="25F78056" w14:textId="77777777" w:rsidR="00581854" w:rsidRDefault="00581854" w:rsidP="00581854">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vervolgens in een nieuwe Juridische regel of </w:t>
      </w:r>
      <w:r>
        <w:lastRenderedPageBreak/>
        <w:t>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