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AAF13" w14:textId="77777777" w:rsidR="005121E9" w:rsidRDefault="005121E9" w:rsidP="00D71489">
      <w:pPr>
        <w:pStyle w:val="Kop3bijlage"/>
      </w:pPr>
      <w:r>
        <w:t>Vragen mbt regeldoorwerking</w:t>
      </w:r>
    </w:p>
    <w:p w14:paraId="2B6582D0" w14:textId="44004538" w:rsidR="005121E9" w:rsidRDefault="005121E9" w:rsidP="00BC0DC4">
      <w:pPr>
        <w:pStyle w:val="Opsommingnummers1"/>
      </w:pPr>
      <w:r>
        <w:t>Er wordt enerzijds gezegd dat niet-programmatische programma’s zelfbindend zijn (en dat alleen een programmatisch programma vergunningregels kan bevatten). Echter, in BKL art 8.70 komt de volgende tekst voor:</w:t>
      </w:r>
      <w:r w:rsidR="00E82597">
        <w:t xml:space="preserve"> </w:t>
      </w:r>
      <w:r>
        <w:t>1.</w:t>
      </w:r>
      <w:r>
        <w:tab/>
        <w:t>“Bij de beslissing op de aanvraag wordt rekening gehouden met de waterbeheerprogramma’s, regionale waterprogramma’s, stroomgebiedsbeheerplannen, overstromingsrisicobeheerplannen en het nationale waterprogramma, die betrekking hebben op dat watersysteem of een onderdeel daarvan.”</w:t>
      </w:r>
      <w:r w:rsidR="00E82597">
        <w:t xml:space="preserve"> </w:t>
      </w:r>
      <w:r>
        <w:t>Wat houdt het “rekening houden met” precies in?</w:t>
      </w:r>
      <w:r w:rsidR="00E82597">
        <w:t xml:space="preserve"> </w:t>
      </w:r>
      <w:r>
        <w:t>En (MvT):</w:t>
      </w:r>
      <w:r w:rsidR="00E82597">
        <w:t xml:space="preserve"> </w:t>
      </w:r>
      <w:r>
        <w:t>“De programma’s spelen een belangrijke rol bij de vergunningverlening. Iedere aanvraag om vergunning voor een wateractiviteit moet in het licht van de waterprogramma’s worden beoordeeld.”</w:t>
      </w:r>
      <w:r w:rsidR="00E82597">
        <w:t xml:space="preserve"> </w:t>
      </w:r>
      <w:r>
        <w:t>En:</w:t>
      </w:r>
      <w:r w:rsidR="00E82597">
        <w:t xml:space="preserve"> </w:t>
      </w:r>
      <w:r>
        <w:t>“Als bij de beoordeling van een aanvraag aan de hand van de relevante waterprogramma’s blijkt dat er – gelet op de bestaande waterkwaliteit, de overige maatregelen en de daarin geformuleerde doelstellingen – geen ruimte meer is voor nieuwe projecten of activiteiten, dan dient de omgevingsvergunning hiervoor te worden geweigerd.”</w:t>
      </w:r>
      <w:r w:rsidR="00A45AEF">
        <w:t xml:space="preserve"> </w:t>
      </w:r>
      <w:r>
        <w:t>Deze quotes suggereren dat programma’s (zijnde niet van een</w:t>
      </w:r>
      <w:r w:rsidR="00A45AEF">
        <w:t xml:space="preserve"> </w:t>
      </w:r>
      <w:r>
        <w:t>programmatische aanpak aard) toch op enigerlei wijze een werking hebben op normadressaten anders dan de overheid.</w:t>
      </w:r>
    </w:p>
    <w:p w14:paraId="70582B18" w14:textId="6F8CB88F" w:rsidR="005121E9" w:rsidRDefault="005121E9" w:rsidP="00A45AEF">
      <w:pPr>
        <w:pStyle w:val="Opsommingnummers1"/>
      </w:pPr>
      <w:r>
        <w:t>Er dient nog gecontroleerd te worden welke rechtsbescherming geboden wordt bij een programma. Specifiek dient gecontroleerd te worden of er een uitzondering bestaat op de hoofdregel dat geen bezwaar en geen beroep mogelijk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