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F4C4" w14:textId="77777777" w:rsidR="00890407" w:rsidRDefault="00890407" w:rsidP="00023CDB">
      <w:pPr>
        <w:pStyle w:val="Kop2bijlage"/>
      </w:pPr>
      <w:bookmarkStart w:id="869" w:name="_Ref_cc82b9efa586205bf3265f47a017222e_203"/>
      <w:r>
        <w:lastRenderedPageBreak/>
        <w:t>Begrippenlijst</w:t>
      </w:r>
      <w:bookmarkEnd w:id="869"/>
    </w:p>
    <w:p w14:paraId="5032E19D" w14:textId="39149367" w:rsidR="00890407" w:rsidRDefault="00890407" w:rsidP="00890407">
      <w:r w:rsidRPr="00AF2D5C">
        <w:t>De lijst met de in deze standaard gebruikte begrippen en hun definities is te vinden via deze link:  &lt;TODO HIER LINK INVOEGEN&gt;.</w:t>
      </w:r>
      <w:r>
        <w:t xml:space="preserve"> </w:t>
      </w:r>
    </w:p>
    <w:p w14:paraId="6567B892" w14:textId="5720B74B" w:rsidR="00FF654F" w:rsidRDefault="00FF654F" w:rsidP="0089040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