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20F86" w14:textId="729D93A1" w:rsidR="00E33EDD" w:rsidRPr="00F62F31" w:rsidRDefault="00E33EDD" w:rsidP="00E33EDD">
      <w:pPr>
        <w:pStyle w:val="Kop4"/>
      </w:pPr>
      <w:bookmarkStart w:id="103" w:name="_Ref_c7b6962c31cf830be615cbf8596136d6_13"/>
      <w:r w:rsidRPr="00F62F31">
        <w:lastRenderedPageBreak/>
        <w:t>Regels en besluiten die leiden tot wijziging</w:t>
      </w:r>
      <w:r w:rsidR="0077547C">
        <w:t xml:space="preserve"> omgevingsplan</w:t>
      </w:r>
      <w:bookmarkEnd w:id="103"/>
    </w:p>
    <w:p w14:paraId="2D1A9114" w14:textId="2DEFABCC" w:rsidR="00CA6DC0" w:rsidRPr="00D60D90" w:rsidRDefault="00135B74">
      <w:r>
        <w:t xml:space="preserve">Deze paragraaf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