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C34A7B" w:rsidRDefault="00590129" w:rsidP="00C34A7B">
      <w:pPr>
        <w:pStyle w:val="Kop5"/>
      </w:pPr>
      <w:r w:rsidRPr="00D60BFF">
        <w:t>Toelichting op de toepassing</w:t>
      </w:r>
    </w:p>
    <w:p w14:paraId="5E16B803" w14:textId="36E195C5" w:rsidR="00C34A7B" w:rsidRDefault="00590129" w:rsidP="00C34A7B">
      <w:r>
        <w:t xml:space="preserve">Zoals in paragraaf </w:t>
      </w:r>
      <w:r>
        <w:fldChar w:fldCharType="begin"/>
      </w:r>
      <w:r>
        <w:instrText xml:space="preserve"> REF _Ref_80a10536c6857cd5b9b14ecf3e8c07f0_23 </w:instrText>
      </w:r>
      <w:r w:rsidR="002137A7">
        <w:instrText>\n \h</w:instrText>
      </w:r>
      <w:r>
        <w:instrText xml:space="preserve"> </w:instrText>
      </w:r>
      <w:r>
        <w:fldChar w:fldCharType="separate"/>
      </w:r>
      <w:r w:rsidR="00FD00CC">
        <w:t>3.6</w:t>
      </w:r>
      <w: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C34A7B" w:rsidRDefault="00590129" w:rsidP="00C34A7B">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2C3F7C3" w14:textId="40091658" w:rsidR="00C34A7B" w:rsidRDefault="00590129" w:rsidP="00C34A7B">
      <w:r>
        <w:t xml:space="preserve">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 </w:t>
      </w:r>
    </w:p>
    <w:p w14:paraId="4628B346" w14:textId="706DE32C" w:rsidR="00C34A7B" w:rsidRDefault="00590129" w:rsidP="00C34A7B">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