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w:t>
      </w:r>
      <w:r w:rsidRPr="006A0B35">
        <w:lastRenderedPageBreak/>
        <w:t xml:space="preserve">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24449FFF"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