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66AAD3D4" w:rsidR="00C34A7B" w:rsidRDefault="00590129" w:rsidP="00C34A7B">
      <w:r>
        <w:t>Provincies en waterschappen zullen de Gebiedsaanwijzing Water en watersysteem vooral gebruiken voor waterbergingsgebieden, grondwater en grondwaterbeschermingsgebieden, oppervlaktewateren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w:t>
      </w:r>
      <w:r>
        <w:lastRenderedPageBreak/>
        <w:t xml:space="preserve">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