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4A26" w14:textId="77777777" w:rsidR="00C34A7B" w:rsidRDefault="00590129" w:rsidP="00C34A7B">
      <w:pPr>
        <w:pStyle w:val="Kop5"/>
      </w:pPr>
      <w:r>
        <w:t>Definitie</w:t>
      </w:r>
    </w:p>
    <w:p w14:paraId="2379B7D8" w14:textId="567AD6B7" w:rsidR="00C34A7B" w:rsidRDefault="00590129" w:rsidP="00C34A7B">
      <w:r w:rsidRPr="00FA2C6A">
        <w:t xml:space="preserve">Water en watersysteem </w:t>
      </w:r>
      <w:r>
        <w:t>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0B7A1E">
        <w:t xml:space="preserve"> op het beheer van water en watersystemen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