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C34A7B" w:rsidRPr="00F62F31" w:rsidRDefault="00590129" w:rsidP="00C34A7B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C34A7B" w:rsidRDefault="00590129" w:rsidP="00C34A7B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C34A7B" w:rsidRPr="00F62F31" w:rsidRDefault="00C34A7B" w:rsidP="00C34A7B"/>
    <w:p w14:paraId="2C7EAA1D" w14:textId="4CDB7AB8" w:rsidR="00C34A7B" w:rsidRDefault="00590129" w:rsidP="00C34A7B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C34A7B" w:rsidRPr="00F62F31" w:rsidRDefault="00C34A7B" w:rsidP="00C34A7B"/>
    <w:p w14:paraId="687195E4" w14:textId="478D4A40" w:rsidR="00C34A7B" w:rsidRDefault="00590129" w:rsidP="00C34A7B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6D791AF" w:rsidR="00C34A7B" w:rsidRPr="00F62F31" w:rsidRDefault="00590129" w:rsidP="00C34A7B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="00800B78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C34A7B" w:rsidRPr="00F62F31" w:rsidRDefault="00C34A7B" w:rsidP="00C34A7B"/>
    <w:p w14:paraId="7D2406A7" w14:textId="053733AD" w:rsidR="00C34A7B" w:rsidRPr="00F62F31" w:rsidRDefault="00590129" w:rsidP="00C34A7B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C34A7B" w:rsidRDefault="00590129" w:rsidP="00C34A7B">
      <w:pPr>
        <w:pStyle w:val="Opsommingtekens1"/>
      </w:pPr>
      <w:r w:rsidRPr="00F62F31">
        <w:t>Het Conceptueel Informatiemodel voor de Omgevingswet (CIMOW);</w:t>
      </w:r>
    </w:p>
    <w:p w14:paraId="1CCE26B2" w14:textId="7438032F" w:rsidR="00C34A7B" w:rsidRPr="00F62F31" w:rsidRDefault="00590129" w:rsidP="00C34A7B">
      <w:pPr>
        <w:pStyle w:val="Opsommingtekens1"/>
      </w:pPr>
      <w:r>
        <w:t>Het Informatiemodel Omgevingswet (IMOW);</w:t>
      </w:r>
    </w:p>
    <w:p w14:paraId="23DF086E" w14:textId="370C1319" w:rsidR="00C34A7B" w:rsidRDefault="00590129" w:rsidP="00C34A7B">
      <w:pPr>
        <w:pStyle w:val="Opsommingtekens1"/>
      </w:pPr>
      <w:r>
        <w:t>XSD’s; schema’s voor implementatie van IMOW in XML-formaat;</w:t>
      </w:r>
    </w:p>
    <w:p w14:paraId="3B5DB600" w14:textId="77777777" w:rsidR="00C34A7B" w:rsidRDefault="00590129" w:rsidP="00C34A7B">
      <w:pPr>
        <w:pStyle w:val="Opsommingtekens1"/>
      </w:pPr>
      <w:r>
        <w:t>Presentatiemodel;</w:t>
      </w:r>
    </w:p>
    <w:p w14:paraId="78C958AC" w14:textId="37436728" w:rsidR="00C34A7B" w:rsidRPr="00F62F31" w:rsidRDefault="00590129" w:rsidP="00C34A7B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C34A7B" w:rsidRPr="00F62F31" w:rsidRDefault="00590129" w:rsidP="00C34A7B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C34A7B" w:rsidRPr="00F62F31" w:rsidRDefault="00590129" w:rsidP="00C34A7B">
      <w:pPr>
        <w:pStyle w:val="Opsommingtekens1"/>
      </w:pPr>
      <w:r>
        <w:t>Validatie- en conformiteitsregels;</w:t>
      </w:r>
    </w:p>
    <w:p w14:paraId="6542DD1D" w14:textId="70BFDE36" w:rsidR="00C34A7B" w:rsidRPr="00F62F31" w:rsidRDefault="00590129" w:rsidP="00C34A7B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