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C34A7B" w:rsidRPr="00F62F31" w:rsidRDefault="00590129" w:rsidP="00C34A7B">
      <w:pPr>
        <w:pStyle w:val="Kop4"/>
      </w:pPr>
      <w:r>
        <w:t>LVBB, overheid.nl en DSO-LV</w:t>
      </w:r>
    </w:p>
    <w:p w14:paraId="4D93B84F" w14:textId="1CB7EBB1" w:rsidR="00C34A7B" w:rsidRDefault="00590129" w:rsidP="00C34A7B">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fldChar w:fldCharType="begin"/>
      </w:r>
      <w:r>
        <w:instrText xml:space="preserve"> REF _Ref_85a508ecb943d31b968e611506139af6_25 </w:instrText>
      </w:r>
      <w:r w:rsidR="002137A7">
        <w:instrText>\n \h</w:instrText>
      </w:r>
      <w:r>
        <w:instrText xml:space="preserve"> </w:instrText>
      </w:r>
      <w:r>
        <w:fldChar w:fldCharType="separate"/>
      </w:r>
      <w:r w:rsidR="00FD00CC">
        <w:t>3.8</w:t>
      </w:r>
      <w:r>
        <w:fldChar w:fldCharType="end"/>
      </w:r>
      <w:r>
        <w:t>.</w:t>
      </w:r>
    </w:p>
    <w:p w14:paraId="64EB4623" w14:textId="77777777" w:rsidR="00C34A7B" w:rsidRDefault="00C34A7B" w:rsidP="00C34A7B"/>
    <w:p w14:paraId="3D3AF186" w14:textId="741D4398" w:rsidR="00C34A7B" w:rsidRPr="00F62F31" w:rsidRDefault="00590129" w:rsidP="00C34A7B">
      <w:r w:rsidRPr="00F62F31">
        <w:t>Digitalisering is een ander belangrijk instrument voor het behalen van de</w:t>
      </w:r>
      <w:r>
        <w:t xml:space="preserve"> in paragraaf </w:t>
      </w:r>
      <w:r>
        <w:fldChar w:fldCharType="begin"/>
      </w:r>
      <w:r>
        <w:instrText xml:space="preserve"> REF _Ref_aaf53def0d4f17aa50ddadb7a81219db_4 </w:instrText>
      </w:r>
      <w:r w:rsidR="002137A7">
        <w:instrText>\n \h</w:instrText>
      </w:r>
      <w:r>
        <w:instrText xml:space="preserve"> </w:instrText>
      </w:r>
      <w:r>
        <w:fldChar w:fldCharType="separate"/>
      </w:r>
      <w:r w:rsidR="00FD00CC">
        <w:t>1.1.1</w:t>
      </w:r>
      <w: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C34A7B" w:rsidRPr="00F62F31" w:rsidRDefault="00590129" w:rsidP="00C34A7B">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C34A7B" w:rsidRPr="00F62F31" w:rsidRDefault="00590129" w:rsidP="00C34A7B">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C34A7B" w:rsidRPr="00F62F31" w:rsidRDefault="00590129" w:rsidP="00C34A7B">
      <w:pPr>
        <w:pStyle w:val="Opsommingtekens1"/>
      </w:pPr>
      <w:r w:rsidRPr="00F62F31">
        <w:t>vergunningen aanvragen en meldingen doen;</w:t>
      </w:r>
    </w:p>
    <w:p w14:paraId="443985CC" w14:textId="35CEF730" w:rsidR="00C34A7B" w:rsidRDefault="00590129" w:rsidP="00C34A7B">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r>
        <w:t>;</w:t>
      </w:r>
      <w:r w:rsidRPr="007B6431">
        <w:t xml:space="preserve"> </w:t>
      </w:r>
    </w:p>
    <w:p w14:paraId="4E9F812E" w14:textId="024C4D2E" w:rsidR="00C34A7B" w:rsidRPr="00F62F31" w:rsidRDefault="00590129" w:rsidP="00C34A7B">
      <w:pPr>
        <w:pStyle w:val="Opsommingtekens1"/>
      </w:pPr>
      <w:r w:rsidRPr="007B6431">
        <w:t>(op termijn) informatie raadplegen over de kwaliteit van de fysieke leefomgeving, zoals gegevens over water- of luchtkwaliteit en geluidbelasting.</w:t>
      </w:r>
    </w:p>
    <w:p w14:paraId="582B9AF3" w14:textId="77777777" w:rsidR="00C34A7B" w:rsidRPr="00F62F31" w:rsidRDefault="00C34A7B" w:rsidP="00C34A7B"/>
    <w:p w14:paraId="479A6B4A" w14:textId="7DA14D0C" w:rsidR="00C34A7B" w:rsidRPr="00F62F31" w:rsidRDefault="00590129" w:rsidP="00C34A7B">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C34A7B" w:rsidRPr="00F62F31" w:rsidRDefault="00590129" w:rsidP="00C34A7B">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C34A7B" w:rsidRPr="00F62F31" w:rsidRDefault="00C34A7B" w:rsidP="00C34A7B"/>
    <w:p w14:paraId="10D461B8" w14:textId="25165736" w:rsidR="00C34A7B" w:rsidRPr="00F62F31" w:rsidRDefault="00590129" w:rsidP="00C34A7B">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