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5C92CD65" w:rsidR="00C34A7B" w:rsidRDefault="00590129" w:rsidP="00C34A7B">
      <w:r>
        <w:t xml:space="preserve">Dit document is in drie delen verdeeld. Deel </w:t>
      </w:r>
      <w:r>
        <w:fldChar w:fldCharType="begin"/>
      </w:r>
      <w:r>
        <w:instrText xml:space="preserve"> REF _Ref_30297aeec5520686f49bbaf0049378c8_1 </w:instrText>
      </w:r>
      <w:r w:rsidR="002137A7">
        <w:instrText>\n \h</w:instrText>
      </w:r>
      <w:r>
        <w:instrText xml:space="preserve"> </w:instrText>
      </w:r>
      <w:r>
        <w:fldChar w:fldCharType="separate"/>
      </w:r>
      <w:r w:rsidR="00FD00CC">
        <w:t>A</w:t>
      </w:r>
      <w: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fldChar w:fldCharType="begin"/>
      </w:r>
      <w:r>
        <w:instrText xml:space="preserve"> REF _Ref_f94761f193e4e7d269b730c26cf03fe3_8 </w:instrText>
      </w:r>
      <w:r w:rsidR="002137A7">
        <w:instrText>\n \h</w:instrText>
      </w:r>
      <w:r>
        <w:instrText xml:space="preserve"> </w:instrText>
      </w:r>
      <w:r>
        <w:fldChar w:fldCharType="separate"/>
      </w:r>
      <w:r w:rsidR="00FD00CC">
        <w:t>2</w:t>
      </w:r>
      <w:r>
        <w:fldChar w:fldCharType="end"/>
      </w:r>
      <w:r>
        <w:t xml:space="preserve"> beschrijft de juridische, inhoudelijke en procedurele aspecten van </w:t>
      </w:r>
      <w:r>
        <w:fldChar w:fldCharType="begin"/>
      </w:r>
      <w:r>
        <w:instrText>DOCVARIABLE ID01+</w:instrText>
      </w:r>
      <w:r>
        <w:fldChar w:fldCharType="separate"/>
      </w:r>
      <w:r w:rsidR="00FD00CC">
        <w:t>de omgevingsverordening</w:t>
      </w:r>
      <w:r>
        <w:fldChar w:fldCharType="end"/>
      </w:r>
      <w:r>
        <w:t xml:space="preserve"> en -waar relevant- andere instrumenten die op </w:t>
      </w:r>
      <w:r>
        <w:fldChar w:fldCharType="begin"/>
      </w:r>
      <w:r>
        <w:instrText>DOCVARIABLE ID01+</w:instrText>
      </w:r>
      <w:r>
        <w:fldChar w:fldCharType="separate"/>
      </w:r>
      <w:r w:rsidR="00FD00CC">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fldChar w:fldCharType="begin"/>
      </w:r>
      <w:r w:rsidR="00B3741C">
        <w:instrText xml:space="preserve"> REF _Ref_6fa1972cd3b0e2ea6579433db1d8ce91_17 \n \h </w:instrText>
      </w:r>
      <w:r w:rsidR="00B3741C">
        <w:fldChar w:fldCharType="separate"/>
      </w:r>
      <w:r w:rsidR="00FD00CC">
        <w:t>3</w:t>
      </w:r>
      <w:r w:rsidR="00B3741C">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6A22CCFC" w:rsidR="00C34A7B" w:rsidRDefault="00590129" w:rsidP="00C34A7B">
      <w:r>
        <w:lastRenderedPageBreak/>
        <w:t xml:space="preserve">Deel </w:t>
      </w:r>
      <w:r>
        <w:fldChar w:fldCharType="begin"/>
      </w:r>
      <w:r>
        <w:instrText xml:space="preserve"> REF _Ref_ba6e144a8fc7aa660688f988f7e001a3_30 </w:instrText>
      </w:r>
      <w:r w:rsidR="002137A7">
        <w:instrText>\n \h</w:instrText>
      </w:r>
      <w:r>
        <w:instrText xml:space="preserve"> </w:instrText>
      </w:r>
      <w:r>
        <w:fldChar w:fldCharType="separate"/>
      </w:r>
      <w:r w:rsidR="00FD00CC">
        <w:t>B</w:t>
      </w:r>
      <w:r>
        <w:fldChar w:fldCharType="end"/>
      </w:r>
      <w:r>
        <w:t xml:space="preserve"> is volledig gewijd aan de modellering van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_Ref_029263390518f7e97efc214b038988df_31 \n \h </w:instrText>
      </w:r>
      <w:r>
        <w:fldChar w:fldCharType="separate"/>
      </w:r>
      <w:r w:rsidR="00FD00CC">
        <w:t>4</w:t>
      </w:r>
      <w:r>
        <w:fldChar w:fldCharType="end"/>
      </w:r>
      <w:r>
        <w:t xml:space="preserve"> beschrijft de besluitonderdelen waaruit een besluit tot vaststelling of wijziging van </w:t>
      </w:r>
      <w:r>
        <w:fldChar w:fldCharType="begin"/>
      </w:r>
      <w:r>
        <w:instrText>DOCVARIABLE ID01+</w:instrText>
      </w:r>
      <w:r>
        <w:fldChar w:fldCharType="separate"/>
      </w:r>
      <w:r w:rsidR="00FD00CC">
        <w:t>de omgevingsverordening</w:t>
      </w:r>
      <w:r>
        <w:fldChar w:fldCharType="end"/>
      </w:r>
      <w:r>
        <w:t xml:space="preserve"> bestaat en het verschil tussen de actuele geldende versie van </w:t>
      </w:r>
      <w:r>
        <w:fldChar w:fldCharType="begin"/>
      </w:r>
      <w:r>
        <w:instrText>DOCVARIABLE ID01+</w:instrText>
      </w:r>
      <w:r>
        <w:fldChar w:fldCharType="separate"/>
      </w:r>
      <w:r w:rsidR="00FD00CC">
        <w:t>de omgevingsverordening</w:t>
      </w:r>
      <w:r>
        <w:fldChar w:fldCharType="end"/>
      </w:r>
      <w:r>
        <w:t xml:space="preserve"> en de </w:t>
      </w:r>
      <w:r w:rsidDel="008B7535">
        <w:t xml:space="preserve">geconsolideerde </w:t>
      </w:r>
      <w:r>
        <w:t xml:space="preserve">Regeling daarvan. In hoofdstuk </w:t>
      </w:r>
      <w:r>
        <w:fldChar w:fldCharType="begin"/>
      </w:r>
      <w:r>
        <w:instrText xml:space="preserve"> REF _Ref_aed587908657563df89a0aa82a98a36f_37 \n \h </w:instrText>
      </w:r>
      <w:r>
        <w:fldChar w:fldCharType="separate"/>
      </w:r>
      <w:r w:rsidR="00FD00CC">
        <w:t>5</w:t>
      </w:r>
      <w:r>
        <w:fldChar w:fldCharType="end"/>
      </w:r>
      <w:r>
        <w:t xml:space="preserve"> wordt het STOP-tekstmodel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\n \h </w:instrText>
      </w:r>
      <w:r>
        <w:fldChar w:fldCharType="separate"/>
      </w:r>
      <w:r w:rsidR="00FD00CC">
        <w:t>6</w:t>
      </w:r>
      <w: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FD00CC">
        <w:t>de omgevingsverordening</w:t>
      </w:r>
      <w:r>
        <w:fldChar w:fldCharType="end"/>
      </w:r>
      <w:r>
        <w:t xml:space="preserve"> en wordt het annoteren van </w:t>
      </w:r>
      <w:r>
        <w:fldChar w:fldCharType="begin"/>
      </w:r>
      <w:r>
        <w:instrText>DOCVARIABLE ID01+</w:instrText>
      </w:r>
      <w:r>
        <w:fldChar w:fldCharType="separate"/>
      </w:r>
      <w:r w:rsidR="00FD00CC">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3F2A1E0B" w:rsidR="00C34A7B" w:rsidRDefault="00590129" w:rsidP="00C34A7B">
      <w:r>
        <w:t xml:space="preserve">In deel </w:t>
      </w:r>
      <w:r w:rsidR="00B3741C">
        <w:fldChar w:fldCharType="begin"/>
      </w:r>
      <w:r w:rsidR="00B3741C">
        <w:instrText xml:space="preserve"> REF _Ref_629722a103df9c9b45f4e0e94166e275_251 \n \h </w:instrText>
      </w:r>
      <w:r w:rsidR="00B3741C">
        <w:fldChar w:fldCharType="separate"/>
      </w:r>
      <w:r w:rsidR="00FD00CC">
        <w:t>C</w:t>
      </w:r>
      <w:r w:rsidR="00B3741C">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468A7522"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D00CC">
        <w:t>de omgevingsverordening</w:t>
      </w:r>
      <w:r>
        <w:fldChar w:fldCharType="end"/>
      </w:r>
      <w:r w:rsidRPr="00F62F31">
        <w:t xml:space="preserve">. Voorbeelden daarvan zijn het aantal besluitonderdelen waaruit een besluit tot wijziging van </w:t>
      </w:r>
      <w:r>
        <w:fldChar w:fldCharType="begin"/>
      </w:r>
      <w:r>
        <w:instrText>DOCVARIABLE ID01+</w:instrText>
      </w:r>
      <w:r>
        <w:fldChar w:fldCharType="separate"/>
      </w:r>
      <w:r w:rsidR="00FD00CC">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D00CC">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D00CC">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