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C34A7B" w:rsidRDefault="00590129" w:rsidP="00C34A7B">
      <w:pPr>
        <w:pStyle w:val="Kop5"/>
      </w:pPr>
      <w:r>
        <w:t>Toelichting op de norm</w:t>
      </w:r>
    </w:p>
    <w:p w14:paraId="51BEFC55" w14:textId="79C17AB8" w:rsidR="00C34A7B" w:rsidRPr="00C96DBA" w:rsidRDefault="00590129" w:rsidP="00C34A7B">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 xml:space="preserve">van vragenbomen. </w:t>
      </w:r>
    </w:p>
    <w:p w14:paraId="69843461" w14:textId="671CF5B6" w:rsidR="00C34A7B" w:rsidRDefault="00590129" w:rsidP="00C34A7B">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De groep vormt het kenmerk waarop </w:t>
      </w:r>
      <w:r w:rsidR="005C37D8" w:rsidRPr="005C37D8">
        <w:t xml:space="preserve">de </w:t>
      </w:r>
      <w:r>
        <w:t>symbolisatie</w:t>
      </w:r>
      <w:r w:rsidR="005C37D8" w:rsidRPr="005C37D8">
        <w:t xml:space="preserve"> (kleur, arcering, lijnstijl) </w:t>
      </w:r>
      <w:r w:rsidR="005C37D8">
        <w:t xml:space="preserve">van </w:t>
      </w:r>
      <w:r>
        <w:t xml:space="preserve">de standaardweergave wordt georganiseerd. </w:t>
      </w:r>
      <w:r w:rsidRPr="0070603F">
        <w:t xml:space="preserve">De groepen die gebruikt kunnen worden zijn opgenomen in </w:t>
      </w:r>
      <w:r>
        <w:t>de limitatieve waardelijst ‘</w:t>
      </w:r>
      <w:r w:rsidRPr="006138FC">
        <w:t>Activiteitengroep</w:t>
      </w:r>
      <w:r>
        <w:t>’</w:t>
      </w:r>
      <w:r w:rsidRPr="0070603F">
        <w:t xml:space="preserve">. Om het mogelijk te maken ook activiteiten te annoteren die nu nog niet voorzien zijn, is de groep </w:t>
      </w:r>
      <w:r>
        <w:t>‘</w:t>
      </w:r>
      <w:r w:rsidRPr="0070603F">
        <w:t>overig</w:t>
      </w:r>
      <w:r>
        <w:t>’</w:t>
      </w:r>
      <w:r w:rsidRPr="0070603F">
        <w:t xml:space="preserve"> aan de waardelijst toegevoegd.</w:t>
      </w:r>
    </w:p>
    <w:p w14:paraId="18183F6F" w14:textId="27A49816" w:rsidR="00C34A7B" w:rsidRDefault="00590129" w:rsidP="00C34A7B">
      <w:pPr>
        <w:pStyle w:val="Opsommingtekens1"/>
      </w:pPr>
      <w:r w:rsidRPr="00C96DBA">
        <w:rPr>
          <w:i/>
          <w:iCs/>
        </w:rPr>
        <w:t>bovenliggende</w:t>
      </w:r>
      <w:r>
        <w:rPr>
          <w:i/>
          <w:iCs/>
        </w:rPr>
        <w:t>A</w:t>
      </w:r>
      <w:r w:rsidRPr="00C96DBA">
        <w:rPr>
          <w:i/>
          <w:iCs/>
        </w:rPr>
        <w:t>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contextueel ook van toepassing zijn op deze activiteit.</w:t>
      </w:r>
      <w:r>
        <w:t xml:space="preserve"> Met het attribuut </w:t>
      </w:r>
      <w:r w:rsidRPr="001E5DB3">
        <w:rPr>
          <w:i/>
          <w:iCs/>
        </w:rPr>
        <w:t>bovenliggendeActiviteit</w:t>
      </w:r>
      <w:r>
        <w:t xml:space="preserve"> kan van een </w:t>
      </w:r>
      <w:r w:rsidRPr="004A59E2">
        <w:t xml:space="preserve">specifieke activiteit die door een bevoegd gezag is gecreëerd, </w:t>
      </w:r>
      <w:r>
        <w:t xml:space="preserve">worden verwezen </w:t>
      </w:r>
      <w:r w:rsidRPr="004A59E2">
        <w:t xml:space="preserve">naar een bovenliggende activiteit die al bestaat in de functionele structuur </w:t>
      </w:r>
      <w:r>
        <w:t xml:space="preserve">die </w:t>
      </w:r>
      <w:r>
        <w:lastRenderedPageBreak/>
        <w:t xml:space="preserve">in de Stelselcatalogus aanwezig is </w:t>
      </w:r>
      <w:r w:rsidRPr="004A59E2">
        <w:t xml:space="preserve">en </w:t>
      </w:r>
      <w:r>
        <w:t xml:space="preserve">daar </w:t>
      </w:r>
      <w:r w:rsidRPr="004A59E2">
        <w:t>een identificatie heeft</w:t>
      </w:r>
      <w:r>
        <w:t>. Het is ook mogelijk om te verwijzen naar een bovenliggende activiteit die het bevoegde gezag zelf in hetzelfde omgevingsdocument heeft gecreëerd.</w:t>
      </w:r>
      <w:r>
        <w:br/>
        <w:t xml:space="preserve">De activiteit waarnaar wordt verwezen ís de bovenliggende activiteit. 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De bovenliggende activiteit kan een activiteit zijn die door een ander besluit (dat kan ook een besluit van een bestuursorgaan van een andere bestuurslaag zijn) is vastgesteld.</w:t>
      </w:r>
      <w:r w:rsidRPr="00E75899">
        <w:t xml:space="preserve"> </w:t>
      </w:r>
      <w:r>
        <w:t xml:space="preserve">Een voorbeeld is de activiteit ‘het opslaan van motorbrandstoffen’ die een specificatie is van de generieke, in de Omgevingswet benoemde, activiteit ‘milieubelastende activiteit’. </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26"/>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27"/>
      </w:r>
      <w:r>
        <w:t>. Elke bovenliggende relatie die tussen activiteiten wordt aangebracht, wordt ook opgenomen in de functionele structuur.</w:t>
      </w:r>
      <w:r>
        <w:rPr>
          <w:rStyle w:val="Verwijzingopmerking"/>
        </w:rPr>
        <w:t xml:space="preserve"> </w:t>
      </w:r>
      <w:r>
        <w:t>Een bovenliggende activiteit mag niet verwijzen naar een activiteit die lager in de hiërarchie ligt</w:t>
      </w:r>
      <w:r>
        <w:rPr>
          <w:rStyle w:val="Eindnootmarkering"/>
        </w:rPr>
        <w:endnoteReference w:id="28"/>
      </w:r>
      <w:r>
        <w:t xml:space="preserve">. </w:t>
      </w:r>
      <w:r>
        <w:fldChar w:fldCharType="begin"/>
      </w:r>
      <w:r>
        <w:instrText xml:space="preserve"> REF _Ref_ad9ae15e60cd868fda00aae4b9e99100_103 \n \h </w:instrText>
      </w:r>
      <w:r>
        <w:fldChar w:fldCharType="separate"/>
      </w:r>
      <w:r w:rsidR="00FD00CC">
        <w:t>Figuur 29</w:t>
      </w:r>
      <w:r>
        <w:fldChar w:fldCharType="end"/>
      </w:r>
      <w:r>
        <w:t xml:space="preserve"> laat zien hoe de IMOW-aanlevering zich verhoudt tot de functionele structuur.</w:t>
      </w:r>
    </w:p>
    <w:p w14:paraId="16F6EF17" w14:textId="7C361F4A" w:rsidR="00C34A7B" w:rsidRDefault="00590129" w:rsidP="00C34A7B">
      <w:pPr>
        <w:pStyle w:val="Figuur"/>
      </w:pPr>
      <w:r>
        <w:rPr>
          <w:noProof/>
        </w:rPr>
        <w:drawing>
          <wp:inline distT="0" distB="0" distL="0" distR="0" wp14:anchorId="435B5B36" wp14:editId="6C1F2934">
            <wp:extent cx="5381624" cy="3448050"/>
            <wp:effectExtent l="0" t="0" r="9525" b="0"/>
            <wp:docPr id="444275190"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8"/>
                    <pic:cNvPicPr/>
                  </pic:nvPicPr>
                  <pic:blipFill>
                    <a:blip r:embed="rId58">
                      <a:extLst>
                        <a:ext uri="{28A0092B-C50C-407E-A947-70E740481C1C}">
                          <a14:useLocalDpi xmlns:a14="http://schemas.microsoft.com/office/drawing/2010/main" val="0"/>
                        </a:ext>
                      </a:extLst>
                    </a:blip>
                    <a:stretch>
                      <a:fillRect/>
                    </a:stretch>
                  </pic:blipFill>
                  <pic:spPr>
                    <a:xfrm>
                      <a:off x="0" y="0"/>
                      <a:ext cx="5381624" cy="3448050"/>
                    </a:xfrm>
                    <a:prstGeom prst="rect">
                      <a:avLst/>
                    </a:prstGeom>
                  </pic:spPr>
                </pic:pic>
              </a:graphicData>
            </a:graphic>
          </wp:inline>
        </w:drawing>
      </w:r>
    </w:p>
    <w:p w14:paraId="5B7EB4DA" w14:textId="1613B523" w:rsidR="00C34A7B" w:rsidRPr="008559F1" w:rsidRDefault="00590129" w:rsidP="00C34A7B">
      <w:pPr>
        <w:pStyle w:val="Figuurbijschrift"/>
      </w:pPr>
      <w:bookmarkStart w:id="175" w:name="_Ref_ad9ae15e60cd868fda00aae4b9e99100_103"/>
      <w:r>
        <w:t>IMOW-aanlevering van activiteit en de functionele structuur</w:t>
      </w:r>
      <w:bookmarkEnd w:id="175"/>
    </w:p>
    <w:p w14:paraId="42493628" w14:textId="5F8EA1FC" w:rsidR="00C34A7B" w:rsidRDefault="00590129" w:rsidP="00C34A7B">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w:t>
      </w:r>
      <w:r>
        <w:lastRenderedPageBreak/>
        <w:t xml:space="preserve">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FD00CC">
        <w:t>de omgevingsverordening</w:t>
      </w:r>
      <w:r>
        <w:fldChar w:fldCharType="end"/>
      </w:r>
      <w:r>
        <w:t>. De gerelateerde activiteit mag een activiteit zijn die door een ander besluit (</w:t>
      </w:r>
      <w:r w:rsidRPr="00BD1C25">
        <w:t xml:space="preserve">dat kan ook een besluit van een bestuursorgaan van </w:t>
      </w:r>
      <w:r>
        <w:t xml:space="preserve">een andere bestuurslaag zijn) is vastgesteld.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gerelateerde activiteit die nog niet in de functionele structuur voorkomt. In dat geval moet de activiteit waarnaar verwezen wordt al wel zijn geannoteerd met het IMOW-object Activiteit in (de geconsolideerde regeling van) het omgevingsdocument dat wordt aangeboden</w:t>
      </w:r>
      <w:r>
        <w:rPr>
          <w:rStyle w:val="Eindnootmarkering"/>
        </w:rPr>
        <w:endnoteReference w:id="29"/>
      </w:r>
      <w:r>
        <w:t>.</w:t>
      </w:r>
    </w:p>
    <w:p w14:paraId="53200516" w14:textId="77777777" w:rsidR="00C34A7B" w:rsidRDefault="00C34A7B" w:rsidP="00C34A7B"/>
    <w:p w14:paraId="10F8855E" w14:textId="01707AB4" w:rsidR="00C34A7B" w:rsidRDefault="00590129" w:rsidP="00C34A7B">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C34A7B" w:rsidRDefault="00590129" w:rsidP="00C34A7B">
      <w:pPr>
        <w:pStyle w:val="Opsommingtekens1"/>
      </w:pPr>
      <w:r w:rsidRPr="00F467E1">
        <w:rPr>
          <w:i/>
          <w:iCs/>
        </w:rPr>
        <w:t>identificatie</w:t>
      </w:r>
      <w:r>
        <w:t xml:space="preserve">: iedere </w:t>
      </w:r>
      <w:r w:rsidRPr="00C14F34">
        <w:t>ActiviteitLocatieaanduiding</w:t>
      </w:r>
      <w:r>
        <w:t xml:space="preserve"> heeft een identificatie. Let op: ook Activiteit zelf heeft een identificatie.</w:t>
      </w:r>
    </w:p>
    <w:p w14:paraId="596AB7F1" w14:textId="67C92536" w:rsidR="00C34A7B" w:rsidRDefault="00590129" w:rsidP="00C34A7B">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2404C5D2" w:rsidR="00C34A7B" w:rsidRDefault="00590129" w:rsidP="00C34A7B">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symbolisatiebibliotheek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lastRenderedPageBreak/>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groep. </w:t>
      </w:r>
    </w:p>
    <w:p w14:paraId="4D4C048A" w14:textId="6A184F8E" w:rsidR="00C34A7B" w:rsidRDefault="00590129" w:rsidP="00C34A7B">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C34A7B" w:rsidRDefault="00C34A7B"/>
    <w:p w14:paraId="4EFD349D" w14:textId="30E94CF4" w:rsidR="00C34A7B" w:rsidRDefault="00590129" w:rsidP="00C34A7B">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t xml:space="preserve">het IMOW-object </w:t>
      </w:r>
      <w:r w:rsidRPr="00EB454B">
        <w:t>Activiteit</w:t>
      </w:r>
      <w:r>
        <w:t xml:space="preserve"> geannoteerd, met een verwijzing naar de Locatie die bij die Juridische regel hoort.</w:t>
      </w:r>
      <w:r w:rsidRPr="006256F8">
        <w:t xml:space="preserve"> </w:t>
      </w:r>
      <w:r w:rsidR="00AE2342">
        <w:t>Als</w:t>
      </w:r>
      <w:r>
        <w:t xml:space="preserve"> in een </w:t>
      </w:r>
      <w:r w:rsidR="00AE2342">
        <w:t>volgende</w:t>
      </w:r>
      <w:r>
        <w:t xml:space="preserve"> Juridische regel diezelfde </w:t>
      </w:r>
      <w:r w:rsidRPr="006256F8">
        <w:t>activiteit</w:t>
      </w:r>
      <w:r>
        <w:t xml:space="preserve"> wordt gebruikt, wordt </w:t>
      </w:r>
      <w:r w:rsidDel="001557E3">
        <w:t xml:space="preserve">in die </w:t>
      </w:r>
      <w:r w:rsidRPr="00097FD3" w:rsidDel="001557E3">
        <w:t xml:space="preserve">Juridische regel </w:t>
      </w:r>
      <w:r w:rsidDel="001557E3">
        <w:t xml:space="preserve">volstaan met een verwijzing naar </w:t>
      </w:r>
      <w:r>
        <w:t xml:space="preserve">het </w:t>
      </w:r>
      <w:r w:rsidDel="001557E3">
        <w:t>betreffende al bestaande Activiteit-</w:t>
      </w:r>
      <w:r>
        <w:t>object</w:t>
      </w:r>
      <w:r w:rsidDel="001557E3">
        <w:t xml:space="preserve">, </w:t>
      </w:r>
      <w:r>
        <w:t xml:space="preserve">en wordt verwezen naar de Locatie die </w:t>
      </w:r>
      <w:r w:rsidDel="001557E3">
        <w:t xml:space="preserve">bij </w:t>
      </w:r>
      <w:r>
        <w:t xml:space="preserve">de nieuwe </w:t>
      </w:r>
      <w:r w:rsidRPr="009A6FDB" w:rsidDel="001557E3">
        <w:t>Juridische regel</w:t>
      </w:r>
      <w:r w:rsidDel="001557E3">
        <w:t xml:space="preserve"> </w:t>
      </w:r>
      <w:r>
        <w:t>hoort. Op deze manier is van iedere afzonderlijke Juridische regel over die activiteit te zien welke Locatie er bij hoort en is ook zichtbaar welke Locaties horen bij de specifieke Activiteit. Een Activiteit heeft dus altijd met 1 of meer Juridische regels een relatie.</w:t>
      </w:r>
    </w:p>
    <w:p w14:paraId="27893579" w14:textId="55D5257E" w:rsidR="00C34A7B" w:rsidRDefault="00C34A7B" w:rsidP="00C34A7B"/>
    <w:p w14:paraId="425A0D2B" w14:textId="73C58CB4" w:rsidR="00C34A7B" w:rsidRDefault="00590129" w:rsidP="00C34A7B">
      <w:r>
        <w:t xml:space="preserve">In paragraaf </w:t>
      </w:r>
      <w:r>
        <w:fldChar w:fldCharType="begin"/>
      </w:r>
      <w:r>
        <w:instrText xml:space="preserve"> REF _Ref_3b008d4b441552dbd1edbbc392d6d3c3_73 </w:instrText>
      </w:r>
      <w:r w:rsidR="002137A7">
        <w:instrText>\n \h</w:instrText>
      </w:r>
      <w:r>
        <w:instrText xml:space="preserve"> </w:instrText>
      </w:r>
      <w:r>
        <w:fldChar w:fldCharType="separate"/>
      </w:r>
      <w:r w:rsidR="00FD00CC">
        <w:t>6.4.1</w:t>
      </w:r>
      <w: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r w:rsidRPr="00382635">
        <w:t xml:space="preserve"> </w:t>
      </w:r>
    </w:p>
    <w:p w14:paraId="75A6C4C4" w14:textId="322529C6" w:rsidR="00C34A7B" w:rsidRDefault="00590129" w:rsidP="00C34A7B">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C34A7B" w:rsidRDefault="00590129" w:rsidP="00C34A7B">
      <w:pPr>
        <w:pStyle w:val="Figuur"/>
      </w:pPr>
      <w:r>
        <w:rPr>
          <w:noProof/>
        </w:rPr>
        <w:drawing>
          <wp:inline distT="0" distB="0" distL="0" distR="0" wp14:anchorId="382D7C17" wp14:editId="40E90614">
            <wp:extent cx="5204212" cy="2908300"/>
            <wp:effectExtent l="0" t="0" r="0" b="6350"/>
            <wp:docPr id="134108718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9">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C34A7B" w:rsidRDefault="00590129" w:rsidP="00C34A7B">
      <w:pPr>
        <w:pStyle w:val="Figuurbijschrift"/>
      </w:pPr>
      <w:bookmarkStart w:id="176" w:name="_Ref_ad9ae15e60cd868fda00aae4b9e99100_103"/>
      <w:r w:rsidRPr="007E23A2">
        <w:t>Voorbeeld bedoeling van IMOW</w:t>
      </w:r>
      <w:r>
        <w:t xml:space="preserve"> voor</w:t>
      </w:r>
      <w:r w:rsidRPr="007E23A2">
        <w:t xml:space="preserve"> </w:t>
      </w:r>
      <w:r>
        <w:t>A</w:t>
      </w:r>
      <w:r w:rsidRPr="007E23A2">
        <w:t>ctiviteit</w:t>
      </w:r>
      <w:bookmarkEnd w:id="176"/>
    </w:p>
    <w:p w14:paraId="148639EB" w14:textId="76219E7C" w:rsidR="00C34A7B" w:rsidRDefault="00590129" w:rsidP="00C34A7B">
      <w:r w:rsidRPr="00E07419">
        <w:lastRenderedPageBreak/>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w:t>
      </w:r>
      <w:r w:rsidR="009568A6">
        <w:t>L</w:t>
      </w:r>
      <w:r>
        <w:t>ocaties zijn geannoteerd met Activiteit</w:t>
      </w:r>
      <w:r w:rsidR="00FB3B6F">
        <w:t xml:space="preserve"> </w:t>
      </w:r>
      <w:r w:rsidR="00FB3B6F" w:rsidRPr="00FB3B6F">
        <w:t>en</w:t>
      </w:r>
      <w:r>
        <w:t xml:space="preserve"> ActiviteitLocatieaanduiding met als 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 xml:space="preserve">Dat kan alleen gelden wanneer dat expliciet in een Juridische regel is bepaald. </w:t>
      </w:r>
    </w:p>
    <w:p w14:paraId="174FF400" w14:textId="0FB09CD2" w:rsidR="00C34A7B" w:rsidRDefault="00590129" w:rsidP="00C34A7B">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 xml:space="preserve">is toegestaan. De juridische bedoeling wordt expliciet in de Juridische regel vastgelegd; de annotaties zijn daarvan een letterlijke vertaling. </w:t>
      </w:r>
    </w:p>
    <w:p w14:paraId="33F44CE4" w14:textId="15C62BA1" w:rsidR="00C34A7B" w:rsidRDefault="00590129" w:rsidP="00C34A7B">
      <w:r>
        <w:t xml:space="preserve">Wanneer het bevoegd gezag in het voorbeeld van </w:t>
      </w:r>
      <w:r>
        <w:fldChar w:fldCharType="begin"/>
      </w:r>
      <w:r>
        <w:instrText xml:space="preserve"> REF _Ref_ad9ae15e60cd868fda00aae4b9e99100_103 \n \h </w:instrText>
      </w:r>
      <w:r>
        <w:fldChar w:fldCharType="separate"/>
      </w:r>
      <w:r w:rsidR="00FD00CC">
        <w:t>Figuur 30</w:t>
      </w:r>
      <w:r>
        <w:fldChar w:fldCharType="end"/>
      </w:r>
      <w:r>
        <w:t xml:space="preserve"> wil bewerkstelligen dat 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C34A7B" w:rsidRPr="00D121F1" w:rsidRDefault="00590129" w:rsidP="00C34A7B">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8" Type="http://schemas.openxmlformats.org/officeDocument/2006/relationships/image" Target="media/image_caf42792d3e393025e3597ec1cc5266c.png"/><Relationship Id="rId59"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