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64E2" w14:textId="687EF29B" w:rsidR="00944C27" w:rsidRPr="005D0FAA" w:rsidRDefault="00944C27" w:rsidP="00944C27">
      <w:pPr>
        <w:pStyle w:val="Kop5"/>
      </w:pPr>
      <w:bookmarkStart w:id="27" w:name="_Ref_d728d8ef65c9f7e604730e39cb79a662_14"/>
      <w:r w:rsidRPr="005D0FAA">
        <w:t>Meervoudig bronhouderschap</w:t>
      </w:r>
      <w:bookmarkEnd w:id="27"/>
    </w:p>
    <w:p w14:paraId="7EB71EF8" w14:textId="58759EC1" w:rsidR="00944C27" w:rsidRPr="005D0FAA" w:rsidRDefault="00944C27" w:rsidP="00944C27">
      <w:r w:rsidRPr="005D0FAA">
        <w:t>Deze subparagraaf is niet van toepassing op</w:t>
      </w:r>
      <w:r w:rsidRPr="008A1E38">
        <w:t xml:space="preserve"> </w:t>
      </w:r>
      <w:r w:rsidRPr="008A1E38">
        <w:rPr>
          <w:shd w:val="clear" w:color="auto" w:fill="E6E6E6"/>
        </w:rPr>
        <w:fldChar w:fldCharType="begin"/>
      </w:r>
      <w:r w:rsidRPr="008A1E38">
        <w:rPr>
          <w:noProof/>
        </w:rPr>
        <w:instrText xml:space="preserve"> DOCVARIABLE ID01+ </w:instrText>
      </w:r>
      <w:r w:rsidRPr="008A1E38">
        <w:rPr>
          <w:noProof/>
          <w:shd w:val="clear" w:color="auto" w:fill="E6E6E6"/>
        </w:rPr>
        <w:fldChar w:fldCharType="separate"/>
      </w:r>
      <w:r w:rsidR="00FD00CC">
        <w:rPr>
          <w:noProof/>
        </w:rPr>
        <w:t>de omgevingsverordening</w:t>
      </w:r>
      <w:r w:rsidRPr="008A1E38">
        <w:rPr>
          <w:shd w:val="clear" w:color="auto" w:fill="E6E6E6"/>
        </w:rPr>
        <w:fldChar w:fldCharType="end"/>
      </w:r>
      <w:r w:rsidRPr="005D0FA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