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C34A7B" w:rsidRPr="00F62F31" w:rsidRDefault="00590129" w:rsidP="00C34A7B">
      <w:pPr>
        <w:pStyle w:val="Kop3"/>
        <w:rPr>
          <w:noProof/>
        </w:rPr>
      </w:pPr>
      <w:r w:rsidRPr="00F62F31">
        <w:t>Proces van totstandkoming en bekendmaking c.q. publicatie van</w:t>
      </w:r>
      <w:r>
        <w:t xml:space="preserve"> omgevingsdocumenten</w:t>
      </w:r>
    </w:p>
    <w:p w14:paraId="0ACD6BD6" w14:textId="502C3F7D" w:rsidR="00C34A7B" w:rsidRPr="006A159E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 xml:space="preserve">intern bij het bevoegd gezag. </w:t>
      </w:r>
      <w:r w:rsidRPr="00D006F3">
        <w:rPr>
          <w:rFonts w:eastAsia="Verdana" w:cs="Verdana"/>
        </w:rPr>
        <w:t>Waar</w:t>
      </w:r>
      <w:r>
        <w:rPr>
          <w:rFonts w:eastAsia="Verdana" w:cs="Verdana"/>
        </w:rPr>
        <w:t xml:space="preserve"> dat </w:t>
      </w:r>
      <w:r w:rsidRPr="00D006F3">
        <w:rPr>
          <w:rFonts w:eastAsia="Verdana" w:cs="Verdana"/>
        </w:rPr>
        <w:t xml:space="preserve">relevant is </w:t>
      </w:r>
      <w:r>
        <w:rPr>
          <w:rFonts w:eastAsia="Verdana" w:cs="Verdana"/>
        </w:rPr>
        <w:t xml:space="preserve">voor het </w:t>
      </w:r>
      <w:r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 de </w:t>
      </w:r>
      <w:r w:rsidRPr="00F62F31">
        <w:rPr>
          <w:rFonts w:eastAsia="Verdana" w:cs="Verdana"/>
        </w:rPr>
        <w:t>STOP</w:t>
      </w:r>
      <w:r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 xml:space="preserve">voldoet, maar dat is niet verplicht. Met de standaarden kan </w:t>
      </w:r>
      <w:r w:rsidRPr="00F62F31">
        <w:rPr>
          <w:rFonts w:eastAsia="Verdana" w:cs="Verdana"/>
        </w:rPr>
        <w:t>een conceptversie van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51D10859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volgen </w:t>
      </w:r>
      <w:r>
        <w:rPr>
          <w:rFonts w:eastAsia="Verdana" w:cs="Verdana"/>
        </w:rPr>
        <w:t xml:space="preserve">voor die instrumenten waarvoor </w:t>
      </w:r>
      <w:r w:rsidR="00376827">
        <w:rPr>
          <w:rFonts w:eastAsia="Verdana" w:cs="Verdana"/>
        </w:rPr>
        <w:t>d</w:t>
      </w:r>
      <w:r>
        <w:rPr>
          <w:rFonts w:eastAsia="Verdana" w:cs="Verdana"/>
        </w:rPr>
        <w:t xml:space="preserve">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en later publicatie of bekendmaking van het besluit </w:t>
      </w: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C34A7B" w:rsidRPr="00F62F31" w:rsidRDefault="00590129" w:rsidP="00C34A7B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>
        <w:rPr>
          <w:rFonts w:eastAsia="Verdana" w:cs="Verdana"/>
        </w:rPr>
        <w:t xml:space="preserve">niet bekend </w:t>
      </w:r>
      <w:r w:rsidRPr="00F62F31">
        <w:rPr>
          <w:rFonts w:eastAsia="Verdana" w:cs="Verdana"/>
        </w:rPr>
        <w:t xml:space="preserve">of, en zo ja waar, zal worden voorzien in een </w:t>
      </w:r>
      <w:r>
        <w:rPr>
          <w:rFonts w:eastAsia="Verdana" w:cs="Verdana"/>
        </w:rPr>
        <w:t xml:space="preserve">landelijk beschikbare </w:t>
      </w:r>
      <w:r w:rsidRPr="00F62F31">
        <w:rPr>
          <w:rFonts w:eastAsia="Verdana" w:cs="Verdana"/>
        </w:rPr>
        <w:t xml:space="preserve">omgeving waarin ook </w:t>
      </w:r>
      <w:r>
        <w:rPr>
          <w:rFonts w:eastAsia="Verdana" w:cs="Verdana"/>
        </w:rPr>
        <w:t xml:space="preserve">informele versies van </w:t>
      </w:r>
      <w:r w:rsidRPr="00F62F31">
        <w:rPr>
          <w:rFonts w:eastAsia="Verdana" w:cs="Verdana"/>
        </w:rPr>
        <w:t>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beschikbaar gesteld en geraadpleegd kunnen worden</w:t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