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C34A7B" w:rsidRDefault="00590129" w:rsidP="00C34A7B">
      <w:pPr>
        <w:pStyle w:val="Kop5"/>
      </w:pPr>
      <w:r>
        <w:t>Norm</w:t>
      </w:r>
    </w:p>
    <w:p w14:paraId="317BE682" w14:textId="77777777" w:rsidR="00C34A7B" w:rsidRDefault="00590129" w:rsidP="00C34A7B">
      <w:r>
        <w:t>De Gebiedsaanwijzing Energievoorziening kent de volgende attributen:</w:t>
      </w:r>
    </w:p>
    <w:p w14:paraId="7946E828" w14:textId="619CD009" w:rsidR="00C34A7B" w:rsidRDefault="00590129" w:rsidP="00C34A7B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3AA6AC1" w:rsidR="00C34A7B" w:rsidRDefault="00590129" w:rsidP="00C34A7B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behoort. </w:t>
      </w:r>
      <w:r w:rsidR="00584415">
        <w:t xml:space="preserve">Attribuut dat zorgt voor symbolisatie conform de standaardweergave. </w:t>
      </w:r>
      <w:r>
        <w:t>Te kiezen uit de limitatieve waardelijst ‘Energievoorzieninggroep’. Verplicht attribuut. Komt 1 keer voor.</w:t>
      </w:r>
    </w:p>
    <w:p w14:paraId="3A5ED07F" w14:textId="2A1E5815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7FA6BCE" w14:textId="60EB350B" w:rsidR="00C34A7B" w:rsidRDefault="00590129" w:rsidP="00C34A7B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C34A7B" w:rsidRDefault="00C34A7B" w:rsidP="00C34A7B"/>
    <w:p w14:paraId="5F66CD1F" w14:textId="31EC296A" w:rsidR="00C34A7B" w:rsidRDefault="00590129" w:rsidP="00C34A7B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