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86D9" w14:textId="77777777" w:rsidR="00C34A7B" w:rsidRDefault="00590129" w:rsidP="00C34A7B">
      <w:pPr>
        <w:pStyle w:val="Kop4"/>
      </w:pPr>
      <w:r>
        <w:t>Het aanleverproces</w:t>
      </w:r>
    </w:p>
    <w:p w14:paraId="62B31FC7" w14:textId="77C8ED40" w:rsidR="00C34A7B" w:rsidRDefault="00590129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0CD6F32E" w14:textId="68AA6BD1" w:rsidR="00C34A7B" w:rsidRDefault="00590129">
      <w:pPr>
        <w:pStyle w:val="Figuur"/>
      </w:pPr>
      <w:r>
        <w:rPr>
          <w:noProof/>
        </w:rPr>
        <w:drawing>
          <wp:inline distT="0" distB="0" distL="0" distR="0" wp14:anchorId="3268AA23" wp14:editId="5B782C2B">
            <wp:extent cx="5721350" cy="2076450"/>
            <wp:effectExtent l="0" t="0" r="0" b="0"/>
            <wp:docPr id="587910463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60B" w14:textId="77777777" w:rsidR="00C34A7B" w:rsidRDefault="00590129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4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