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C34A7B" w:rsidRDefault="00590129" w:rsidP="00C34A7B">
      <w:pPr>
        <w:pStyle w:val="Kop5"/>
      </w:pPr>
      <w:r>
        <w:t>Doel</w:t>
      </w:r>
    </w:p>
    <w:p w14:paraId="5B501555" w14:textId="440BC087" w:rsidR="00C34A7B" w:rsidRDefault="00590129" w:rsidP="00C34A7B">
      <w:r>
        <w:t>Doel van het objecttype Juridische regel is:</w:t>
      </w:r>
    </w:p>
    <w:p w14:paraId="5FAEB783" w14:textId="7F3EEC38" w:rsidR="00C34A7B" w:rsidRDefault="00590129" w:rsidP="00C34A7B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23CF0D0A" w14:textId="145A28F7" w:rsidR="00C34A7B" w:rsidRDefault="00590129" w:rsidP="00C34A7B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Pr="00635EFB">
        <w:t>inhoudelijke annotaties</w:t>
      </w:r>
      <w:r>
        <w:t xml:space="preserve"> Activiteit, Omgevingsnorm, Omgevingswaarde en de verschillende typen Gebiedsaanwijzing;</w:t>
      </w:r>
      <w:r w:rsidRPr="00635EFB">
        <w:t xml:space="preserve"> </w:t>
      </w:r>
    </w:p>
    <w:p w14:paraId="7A763556" w14:textId="774BF2E9" w:rsidR="00C34A7B" w:rsidRDefault="00590129" w:rsidP="00C34A7B">
      <w:pPr>
        <w:pStyle w:val="Opsommingtekens1"/>
      </w:pPr>
      <w:r>
        <w:t xml:space="preserve">het kunnen leggen van </w:t>
      </w:r>
      <w:r w:rsidRPr="00635EFB">
        <w:t>relaties tussen de inhoudelijke annotaties, waardoor de Juridische regel als geheel machineleesbaar wordt</w:t>
      </w:r>
      <w:r>
        <w:t>;</w:t>
      </w:r>
    </w:p>
    <w:p w14:paraId="028C0749" w14:textId="24AF7E57" w:rsidR="00C34A7B" w:rsidRDefault="00590129" w:rsidP="00C34A7B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C34A7B" w:rsidRDefault="00590129" w:rsidP="00C34A7B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C34A7B" w:rsidRPr="00FC61C8" w:rsidRDefault="00590129" w:rsidP="00C34A7B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