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C34A7B" w:rsidRDefault="00590129" w:rsidP="00C34A7B">
      <w:pPr>
        <w:pStyle w:val="Kop5"/>
      </w:pPr>
      <w:r>
        <w:t>Doel</w:t>
      </w:r>
    </w:p>
    <w:p w14:paraId="72A2B7C3" w14:textId="708C15D8" w:rsidR="00C34A7B" w:rsidRDefault="00590129" w:rsidP="00C34A7B">
      <w:r>
        <w:t>Doel van het objecttype Water en watersysteem is:</w:t>
      </w:r>
    </w:p>
    <w:p w14:paraId="70FB38C5" w14:textId="6A569F2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C34A7B" w:rsidRDefault="00590129" w:rsidP="00C34A7B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