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376" w14:textId="789B60DD" w:rsidR="00BF3FFF" w:rsidRPr="00F62F31" w:rsidRDefault="00BF3FFF" w:rsidP="00BF3FFF">
      <w:pPr>
        <w:pStyle w:val="Kop5"/>
      </w:pPr>
      <w:r w:rsidRPr="00F62F31">
        <w:t>Toelichting</w:t>
      </w:r>
    </w:p>
    <w:p w14:paraId="65A53973" w14:textId="5F6163BD" w:rsidR="00E82CEA" w:rsidRDefault="00E82CEA" w:rsidP="00E82CEA">
      <w:r>
        <w:t>Kopelementen bestaan uit een Label (de naam van het type tekstelement, zoals Hoofdstuk en Artikel), een Nummer en een Opschrift</w:t>
      </w:r>
      <w:r w:rsidR="00001B8D">
        <w:t xml:space="preserve"> </w:t>
      </w:r>
      <w:r w:rsidR="00001B8D" w:rsidRPr="00001B8D">
        <w:t>(de tekstuele aanduiding van het tekstelement die aangeeft waar het onderdeel over gaat)</w:t>
      </w:r>
      <w:r>
        <w:t xml:space="preserve">. Met uitzondering van Lid is het verplicht alle tekstelementen te voorzien van een Opschrift; over het algemeen kan het bevoegd gezag het Opschrift zelf kiezen. Lijsten kunnen voorkomen in Artikelen en Leden. </w:t>
      </w:r>
      <w:r w:rsidR="00F24BE7" w:rsidRPr="00F24BE7">
        <w:t>Een Lijst wordt altijd voorafgegaan door een inleidende tekst, oftewel de aanhef.</w:t>
      </w:r>
      <w:r w:rsidR="003F13D4">
        <w:t xml:space="preserve"> </w:t>
      </w:r>
      <w:r>
        <w:t>Er gelden regels voor het maximum aantal niveaus in Lijsten en de nummering van Lijsten.</w:t>
      </w:r>
    </w:p>
    <w:p w14:paraId="4B554596" w14:textId="705EDD76" w:rsidR="009B7B1B" w:rsidRDefault="00F7709E" w:rsidP="00E82CEA">
      <w:r w:rsidRPr="00F7709E">
        <w:t>De navolgende figuren tonen het verschil tussen Lid en Lijst, Leden met en zonder Opschrift en de werking van de aanhef bij een Lid met en een Lid zonder Opschrift</w:t>
      </w:r>
      <w:r w:rsidR="00602B1B">
        <w:t>.</w:t>
      </w:r>
    </w:p>
    <w:p w14:paraId="4B849174" w14:textId="667E2DB3" w:rsidR="009B7B1B" w:rsidRDefault="00EB15DC" w:rsidP="00EB15DC">
      <w:pPr>
        <w:pStyle w:val="Figuur"/>
      </w:pPr>
      <w:r>
        <w:rPr>
          <w:noProof/>
        </w:rPr>
        <w:drawing>
          <wp:inline distT="0" distB="0" distL="0" distR="0" wp14:anchorId="19F2A7D1" wp14:editId="7E8282C7">
            <wp:extent cx="5017134" cy="2212975"/>
            <wp:effectExtent l="0" t="0" r="0" b="0"/>
            <wp:docPr id="165707205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4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52B" w14:textId="05792737" w:rsidR="00EB15DC" w:rsidRPr="00EB15DC" w:rsidRDefault="00C91BDD" w:rsidP="00C91BDD">
      <w:pPr>
        <w:pStyle w:val="Figuurbijschrift"/>
      </w:pPr>
      <w:bookmarkStart w:id="81" w:name="_Ref_7c4a7ce1a9dfe9304871e41c9337fbea_44"/>
      <w:r w:rsidRPr="00C91BDD">
        <w:t>Artikel, Leden met Opschrift, Lijst en aanhef</w:t>
      </w:r>
      <w:bookmarkEnd w:id="81"/>
    </w:p>
    <w:p w14:paraId="048DEDD7" w14:textId="7E3DB1D0" w:rsidR="00B14E9A" w:rsidRDefault="00467D0E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7</w:t>
      </w:r>
      <w:r>
        <w:fldChar w:fldCharType="end"/>
      </w:r>
      <w:r>
        <w:t xml:space="preserve"> </w:t>
      </w:r>
      <w:r w:rsidR="00B14E9A" w:rsidRPr="00B14E9A">
        <w:t>toont een Artikel met Leden met Opschrift. Lid 2 bevat een Lijst. Duidelijk zichtbaar is dat de Lijst wordt voorafgegaan door een aanhef.</w:t>
      </w:r>
    </w:p>
    <w:p w14:paraId="39E07B63" w14:textId="5516256B" w:rsidR="00B14E9A" w:rsidRDefault="00CB5808" w:rsidP="00CB5808">
      <w:pPr>
        <w:pStyle w:val="Figuur"/>
      </w:pPr>
      <w:r>
        <w:rPr>
          <w:noProof/>
        </w:rPr>
        <w:lastRenderedPageBreak/>
        <w:drawing>
          <wp:inline distT="0" distB="0" distL="0" distR="0" wp14:anchorId="2054F875" wp14:editId="78EF2200">
            <wp:extent cx="5053966" cy="1438910"/>
            <wp:effectExtent l="0" t="0" r="0" b="8890"/>
            <wp:docPr id="699743077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6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6BA" w14:textId="0D3BE955" w:rsidR="00CB5808" w:rsidRPr="00CB5808" w:rsidRDefault="00467D0E" w:rsidP="00467D0E">
      <w:pPr>
        <w:pStyle w:val="Figuurbijschrift"/>
      </w:pPr>
      <w:bookmarkStart w:id="82" w:name="_Ref_7c4a7ce1a9dfe9304871e41c9337fbea_44"/>
      <w:r w:rsidRPr="00467D0E">
        <w:t>Artikel, Leden zonder Opschrift, Lijst en aanhef</w:t>
      </w:r>
      <w:bookmarkEnd w:id="82"/>
    </w:p>
    <w:p w14:paraId="2ED38392" w14:textId="4227C3C7" w:rsidR="00467D0E" w:rsidRDefault="00E43D2D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8</w:t>
      </w:r>
      <w:r>
        <w:fldChar w:fldCharType="end"/>
      </w:r>
      <w:r>
        <w:t xml:space="preserve"> </w:t>
      </w:r>
      <w:r w:rsidRPr="00E43D2D">
        <w:t xml:space="preserve">geeft een voorbeeld van een Artikel met Leden zonder Opschrift. Lid </w:t>
      </w:r>
      <w:r w:rsidR="009A65E6">
        <w:t>1</w:t>
      </w:r>
      <w:r w:rsidRPr="00E43D2D">
        <w:t xml:space="preserve"> bevat een Lijst, voorafgegaan door een aanhef die door het ontbreken van een Opschrift direct achter het nummer van het Lid staat.</w:t>
      </w:r>
    </w:p>
    <w:p w14:paraId="443738AE" w14:textId="77777777" w:rsidR="00467D0E" w:rsidRDefault="00467D0E" w:rsidP="00E82CEA"/>
    <w:p w14:paraId="10448A7B" w14:textId="4E730D56" w:rsidR="00F234C4" w:rsidRPr="00D12B6B" w:rsidRDefault="00E82CEA" w:rsidP="00E82CEA">
      <w:r>
        <w:t xml:space="preserve">Zoals uit de navolgende norm blijkt bestaat de nummering van Hoofdstuk, Titel, Afdeling, Paragraaf, Subparagraaf, Subsubparagraaf, Artikel en Lid uit Arabische cijfers. </w:t>
      </w:r>
      <w:r w:rsidR="00001B8D">
        <w:t xml:space="preserve">Aan die nummering </w:t>
      </w:r>
      <w:r w:rsidR="00AA23FD">
        <w:t xml:space="preserve">mogen </w:t>
      </w:r>
      <w:r w:rsidR="00001B8D">
        <w:t xml:space="preserve">bij Artikel en Lid </w:t>
      </w:r>
      <w:r w:rsidR="00AA23FD">
        <w:t xml:space="preserve">letters worden </w:t>
      </w:r>
      <w:r w:rsidR="00001B8D">
        <w:t>toegevoegd</w:t>
      </w:r>
      <w:r w:rsidR="00AA32E5">
        <w:t xml:space="preserve">. Wanneer met een wijzigingsbesluit bijvoorbeeld een nieuw artikel wordt ingevoegd tussen artikel 2.5 en 2.6, dan </w:t>
      </w:r>
      <w:r w:rsidR="00AA32E5" w:rsidRPr="00AA32E5">
        <w:rPr>
          <w:u w:val="single"/>
        </w:rPr>
        <w:t>mag</w:t>
      </w:r>
      <w:r w:rsidR="00AA32E5">
        <w:t xml:space="preserve"> dit nieuwe artikel het nummer 2.5a krijgen. Op deze wijze blijven inhoudelijke verwijzingen, vanuit andere documenten naar artikelnummers in</w:t>
      </w:r>
      <w:r w:rsidR="00AA32E5" w:rsidRPr="00AA32E5">
        <w:t xml:space="preserve"> de omgevingsverordening</w:t>
      </w:r>
      <w:r w:rsidR="00AA32E5">
        <w:t>,</w:t>
      </w:r>
      <w:r w:rsidR="00AA32E5" w:rsidRPr="00AA32E5">
        <w:t xml:space="preserve"> </w:t>
      </w:r>
      <w:r w:rsidR="00AA32E5">
        <w:t>intact.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7" Type="http://schemas.openxmlformats.org/officeDocument/2006/relationships/image" Target="media/image_7f33c10a32458079ebd6e4622f855aaf.png"/><Relationship Id="rId28" Type="http://schemas.openxmlformats.org/officeDocument/2006/relationships/image" Target="media/image_655e8d7510539ab6dc988fb25becbcd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