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C34A7B" w:rsidRDefault="00590129" w:rsidP="00C34A7B">
      <w:pPr>
        <w:pStyle w:val="Kop5"/>
      </w:pPr>
      <w:r>
        <w:t>Toelichting op de norm</w:t>
      </w:r>
    </w:p>
    <w:p w14:paraId="3B6391EE" w14:textId="0D91155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85583C7" w14:textId="46916CAC" w:rsidR="00C34A7B" w:rsidRDefault="00590129" w:rsidP="00C34A7B">
      <w:pPr>
        <w:pStyle w:val="Opsommingtekens1"/>
      </w:pPr>
      <w:r w:rsidRPr="007D5679">
        <w:rPr>
          <w:i/>
          <w:iCs/>
        </w:rPr>
        <w:t>naam</w:t>
      </w:r>
      <w:r>
        <w:t xml:space="preserve">: door het bevoegd gezag zelf te kiezen, er is geen waardelijst voor de naam van specifieke vormen van de Gebiedsaanwijzing Energievoorziening. De naam mag ook dezelfde zijn als de naam van de </w:t>
      </w:r>
      <w:r w:rsidR="00E73F86" w:rsidRPr="00E73F86">
        <w:t>Energievoorziening</w:t>
      </w:r>
      <w:r>
        <w:t>groep.</w:t>
      </w:r>
    </w:p>
    <w:p w14:paraId="02716642" w14:textId="055B1998" w:rsidR="00C34A7B" w:rsidRDefault="00590129" w:rsidP="00C34A7B">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w:t>
      </w:r>
      <w:r w:rsidRPr="00834CC7">
        <w:t>standaard</w:t>
      </w:r>
      <w:r>
        <w:t xml:space="preserve">weergave </w:t>
      </w:r>
      <w:r>
        <w:lastRenderedPageBreak/>
        <w:t>wordt georganiseerd. De groepen die gebruikt kunnen worden zijn opgenomen in de limitatieve waardelijst Energievoorzieninggroep’.</w:t>
      </w:r>
    </w:p>
    <w:p w14:paraId="74092483" w14:textId="53890602"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802932A" w14:textId="1059DF86" w:rsidR="00C34A7B" w:rsidRDefault="00590129" w:rsidP="00C34A7B">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C34A7B" w:rsidRDefault="00C34A7B" w:rsidP="00C34A7B"/>
    <w:p w14:paraId="7A2FADF0" w14:textId="6D073121" w:rsidR="00C34A7B" w:rsidRDefault="00590129" w:rsidP="00C34A7B">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