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3A48D" w14:textId="16B74832" w:rsidR="00944C27" w:rsidRPr="005D0FAA" w:rsidRDefault="00944C27" w:rsidP="00944C27">
      <w:pPr>
        <w:pStyle w:val="Kop4"/>
      </w:pPr>
      <w:bookmarkStart w:id="26" w:name="_Ref_c2696de43797b876ce3e059db1fd43ae_13"/>
      <w:r w:rsidRPr="005D0FAA">
        <w:t xml:space="preserve">Regels en besluiten die leiden tot wijziging </w:t>
      </w:r>
      <w:fldSimple w:instr=" DOCVARIABLE ID01 ">
        <w:r w:rsidR="00FD00CC">
          <w:t>omgevingsverordening</w:t>
        </w:r>
      </w:fldSimple>
      <w:bookmarkEnd w:id="26"/>
    </w:p>
    <w:p w14:paraId="661C761C" w14:textId="6EEEE035" w:rsidR="00944C27" w:rsidRPr="005D0FAA" w:rsidRDefault="00944C27" w:rsidP="00944C27">
      <w:r w:rsidRPr="005D0FAA">
        <w:t xml:space="preserve">Een bestuursorgaan is verantwoordelijk voor het opstellen, vaststellen en wijzigen van het </w:t>
      </w:r>
      <w:r w:rsidR="00D4307A">
        <w:t>omgevingsdocument</w:t>
      </w:r>
      <w:r w:rsidRPr="005D0FAA">
        <w:t xml:space="preserve"> waarvoor het op grond van de Omgevingswet is aangewezen als bevoegd gezag. In specifieke gevallen hebben regels en besluiten van andere bestuursorganen invloed op dat </w:t>
      </w:r>
      <w:r w:rsidR="00D4307A">
        <w:t>omgevingsdocument</w:t>
      </w:r>
      <w:r w:rsidRPr="005D0FAA">
        <w:t>. Zo kunnen Rijk, provincie en waterschap met een projectbesluit de regels van het omgevingsplan wijzigen.</w:t>
      </w:r>
    </w:p>
    <w:p w14:paraId="6CEBF58C" w14:textId="77777777" w:rsidR="00944C27" w:rsidRPr="005D0FAA" w:rsidRDefault="00944C27" w:rsidP="00944C27"/>
    <w:p w14:paraId="3337F2D9" w14:textId="3B5F9DF3" w:rsidR="00944C27" w:rsidRPr="005D0FAA" w:rsidRDefault="00944C27" w:rsidP="00944C27">
      <w:r w:rsidRPr="005D0FAA">
        <w:t xml:space="preserve">In deze subparagraaf wordt vooral aandacht besteed aan de regels en besluiten die invloed hebben op het omgevingsplan. De complexiteit die hiermee samenhangt en de impact die de regels in het omgevingsplan hebben op initiatiefnemers, burgers, bedrijven en instellingen rechtvaardigen een nadere uitwerking. Derhalve </w:t>
      </w:r>
      <w:r w:rsidR="00485AE1">
        <w:t>is</w:t>
      </w:r>
      <w:r w:rsidRPr="005D0FAA">
        <w:t xml:space="preserve"> subparagr</w:t>
      </w:r>
      <w:r w:rsidR="00485AE1">
        <w:t>a</w:t>
      </w:r>
      <w:r w:rsidRPr="005D0FAA">
        <w:t xml:space="preserve">af </w:t>
      </w:r>
      <w:r w:rsidRPr="005D0FAA">
        <w:rPr>
          <w:shd w:val="clear" w:color="auto" w:fill="E6E6E6"/>
        </w:rPr>
        <w:fldChar w:fldCharType="begin"/>
      </w:r>
      <w:r w:rsidRPr="005D0FAA">
        <w:instrText xml:space="preserve"> REF _Ref_d728d8ef65c9f7e604730e39cb79a662_14 \n \h </w:instrText>
      </w:r>
      <w:r>
        <w:rPr>
          <w:shd w:val="clear" w:color="auto" w:fill="E6E6E6"/>
        </w:rPr>
        <w:instrText xml:space="preserve"> \* MERGEFORMAT </w:instrText>
      </w:r>
      <w:r w:rsidRPr="005D0FAA">
        <w:rPr>
          <w:shd w:val="clear" w:color="auto" w:fill="E6E6E6"/>
        </w:rPr>
      </w:r>
      <w:r w:rsidRPr="005D0FAA">
        <w:rPr>
          <w:shd w:val="clear" w:color="auto" w:fill="E6E6E6"/>
        </w:rPr>
        <w:fldChar w:fldCharType="separate"/>
      </w:r>
      <w:r w:rsidR="00FD00CC">
        <w:t>2.3.2.1</w:t>
      </w:r>
      <w:r w:rsidRPr="005D0FAA">
        <w:rPr>
          <w:shd w:val="clear" w:color="auto" w:fill="E6E6E6"/>
        </w:rPr>
        <w:fldChar w:fldCharType="end"/>
      </w:r>
      <w:r w:rsidRPr="005D0FAA">
        <w:t xml:space="preserve"> niet van toepassing op</w:t>
      </w:r>
      <w:r w:rsidRPr="008A1E38">
        <w:t xml:space="preserve"> </w:t>
      </w:r>
      <w:r w:rsidRPr="008A1E38">
        <w:rPr>
          <w:shd w:val="clear" w:color="auto" w:fill="E6E6E6"/>
        </w:rPr>
        <w:fldChar w:fldCharType="begin"/>
      </w:r>
      <w:r w:rsidRPr="008A1E38">
        <w:rPr>
          <w:noProof/>
        </w:rPr>
        <w:instrText xml:space="preserve"> DOCVARIABLE ID01+ </w:instrText>
      </w:r>
      <w:r w:rsidRPr="008A1E38">
        <w:rPr>
          <w:noProof/>
          <w:shd w:val="clear" w:color="auto" w:fill="E6E6E6"/>
        </w:rPr>
        <w:fldChar w:fldCharType="separate"/>
      </w:r>
      <w:r w:rsidR="00FD00CC">
        <w:rPr>
          <w:noProof/>
        </w:rPr>
        <w:t>de omgevingsverordening</w:t>
      </w:r>
      <w:r w:rsidRPr="008A1E38">
        <w:rPr>
          <w:shd w:val="clear" w:color="auto" w:fill="E6E6E6"/>
        </w:rPr>
        <w:fldChar w:fldCharType="end"/>
      </w:r>
      <w:r w:rsidRPr="005D0FAA">
        <w:t>.</w:t>
      </w:r>
    </w:p>
    <w:p w14:paraId="046C3365" w14:textId="0720A5E9" w:rsidR="00944C27" w:rsidRPr="005D0FAA" w:rsidRDefault="00944C27" w:rsidP="00944C27">
      <w:r w:rsidRPr="005D0FAA">
        <w:t>Voor</w:t>
      </w:r>
      <w:r w:rsidRPr="008A1E38">
        <w:t xml:space="preserve"> </w:t>
      </w:r>
      <w:r w:rsidRPr="008A1E38">
        <w:rPr>
          <w:shd w:val="clear" w:color="auto" w:fill="E6E6E6"/>
        </w:rPr>
        <w:fldChar w:fldCharType="begin"/>
      </w:r>
      <w:r w:rsidRPr="008A1E38">
        <w:rPr>
          <w:noProof/>
        </w:rPr>
        <w:instrText xml:space="preserve"> DOCVARIABLE ID01+ </w:instrText>
      </w:r>
      <w:r w:rsidRPr="008A1E38">
        <w:rPr>
          <w:noProof/>
          <w:shd w:val="clear" w:color="auto" w:fill="E6E6E6"/>
        </w:rPr>
        <w:fldChar w:fldCharType="separate"/>
      </w:r>
      <w:r w:rsidR="00FD00CC">
        <w:rPr>
          <w:noProof/>
        </w:rPr>
        <w:t>de omgevingsverordening</w:t>
      </w:r>
      <w:r w:rsidRPr="008A1E38">
        <w:rPr>
          <w:shd w:val="clear" w:color="auto" w:fill="E6E6E6"/>
        </w:rPr>
        <w:fldChar w:fldCharType="end"/>
      </w:r>
      <w:r w:rsidRPr="005D0FAA">
        <w:t xml:space="preserve"> zijn overigens wel de bepalingen met betrekking tot het voorbereidingsbesluit en de voorbeschermingsregels van belang, welke in paragraaf </w:t>
      </w:r>
      <w:r w:rsidRPr="005D0FAA">
        <w:rPr>
          <w:shd w:val="clear" w:color="auto" w:fill="E6E6E6"/>
        </w:rPr>
        <w:fldChar w:fldCharType="begin"/>
      </w:r>
      <w:r w:rsidRPr="005D0FAA">
        <w:instrText xml:space="preserve"> REF _Ref_26e3940e37b24a03217ca02a470ae652_15 \n \h </w:instrText>
      </w:r>
      <w:r>
        <w:rPr>
          <w:shd w:val="clear" w:color="auto" w:fill="E6E6E6"/>
        </w:rPr>
        <w:instrText xml:space="preserve"> \* MERGEFORMAT </w:instrText>
      </w:r>
      <w:r w:rsidRPr="005D0FAA">
        <w:rPr>
          <w:shd w:val="clear" w:color="auto" w:fill="E6E6E6"/>
        </w:rPr>
      </w:r>
      <w:r w:rsidRPr="005D0FAA">
        <w:rPr>
          <w:shd w:val="clear" w:color="auto" w:fill="E6E6E6"/>
        </w:rPr>
        <w:fldChar w:fldCharType="separate"/>
      </w:r>
      <w:r w:rsidR="00FD00CC">
        <w:t>2.3.2.2</w:t>
      </w:r>
      <w:r w:rsidRPr="005D0FAA">
        <w:rPr>
          <w:shd w:val="clear" w:color="auto" w:fill="E6E6E6"/>
        </w:rPr>
        <w:fldChar w:fldCharType="end"/>
      </w:r>
      <w:r w:rsidRPr="005D0FAA">
        <w:t xml:space="preserve"> worden toegelicht.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