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84" w14:textId="0B5E07F5" w:rsidR="00C34A7B" w:rsidRPr="00F62F31" w:rsidRDefault="00590129" w:rsidP="00C34A7B">
      <w:pPr>
        <w:pStyle w:val="Kop3"/>
      </w:pPr>
      <w:r w:rsidRPr="00F62F31"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</w:p>
    <w:p w14:paraId="2818E63A" w14:textId="0F06807D" w:rsidR="00C34A7B" w:rsidRPr="00F62F31" w:rsidRDefault="00590129" w:rsidP="00C34A7B">
      <w:r w:rsidRPr="00F62F31">
        <w:t xml:space="preserve">De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r>
        <w:t>-</w:t>
      </w:r>
      <w:r w:rsidRPr="00F62F31">
        <w:t xml:space="preserve">delen van alle opeenvolgende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vormen samen </w:t>
      </w:r>
      <w:r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waaraan rechten en plichten kunnen worden ontleend.</w:t>
      </w:r>
    </w:p>
    <w:p w14:paraId="154FA0CD" w14:textId="4E39BDFF" w:rsidR="00C34A7B" w:rsidRPr="00F62F31" w:rsidRDefault="00590129" w:rsidP="00C34A7B">
      <w:r>
        <w:t>Het</w:t>
      </w:r>
      <w:r w:rsidRPr="00F62F31">
        <w:t xml:space="preserve"> motivering</w:t>
      </w:r>
      <w:r>
        <w:t>sdeel</w:t>
      </w:r>
      <w:r w:rsidRPr="00F62F31">
        <w:t xml:space="preserve"> en de daarbij behorende gegevens en bescheiden over bijvoorbeeld onderzoek en zienswijzen maken geen deel uit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. Dat geldt ook voor de </w:t>
      </w:r>
      <w:r>
        <w:t>eventuele</w:t>
      </w:r>
      <w:r w:rsidRPr="00F62F31">
        <w:t xml:space="preserve"> artikelsgewijze en algemene toelichting. Deze onderdelen van het besluit zijn niet juridisch bindend. Wel kunnen deze delen uiteraard een rol spelen bij de interpretatie van de regels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