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C34A7B" w:rsidRDefault="00590129" w:rsidP="00C34A7B">
      <w:pPr>
        <w:pStyle w:val="Kop5"/>
      </w:pPr>
      <w:r>
        <w:t>Toelichting op de toepassing</w:t>
      </w:r>
    </w:p>
    <w:p w14:paraId="44AFE8AF" w14:textId="34EAE380" w:rsidR="00C34A7B" w:rsidRDefault="00590129" w:rsidP="00C34A7B">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66AAD3D4" w:rsidR="00C34A7B" w:rsidRDefault="00590129" w:rsidP="00C34A7B">
      <w:r>
        <w:t>Provincies en waterschappen zullen de Gebiedsaanwijzing Water en watersysteem vooral gebruiken voor waterbergingsgebieden, grondwater en grondwaterbeschermingsgebieden, oppervlaktewateren en regionale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C34A7B" w:rsidRDefault="00C34A7B" w:rsidP="00C34A7B"/>
    <w:p w14:paraId="2D0AC026" w14:textId="662CDDE7" w:rsidR="00C34A7B" w:rsidRDefault="00590129" w:rsidP="00C34A7B">
      <w:r>
        <w:t xml:space="preserve">Om de geometrische begrenzing van de Gebiedsaanwijzing Water en watersysteem te kunnen vastleggen en de verschillende gebieden van dit type op een kaartbeeld weer te geven </w:t>
      </w:r>
      <w:r w:rsidR="00FB6982">
        <w:t>wordt</w:t>
      </w:r>
      <w:r>
        <w:t xml:space="preserve"> de annotatie Water en watersysteem </w:t>
      </w:r>
      <w:r w:rsidR="00FB6982" w:rsidRPr="00FB6982">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w:t>
      </w:r>
      <w:r>
        <w:lastRenderedPageBreak/>
        <w:t xml:space="preserve">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w:t>
      </w:r>
      <w:r w:rsidR="00D87C6B">
        <w:t>Locaties</w:t>
      </w:r>
      <w:r>
        <w:t xml:space="preserve">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