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6642" w14:textId="77777777" w:rsidR="00C34A7B" w:rsidRDefault="00590129" w:rsidP="00C34A7B">
      <w:pPr>
        <w:pStyle w:val="Kop4"/>
      </w:pPr>
      <w:r>
        <w:t>Toelichting</w:t>
      </w:r>
    </w:p>
    <w:p w14:paraId="781FAD18" w14:textId="2F7D0171" w:rsidR="00C34A7B" w:rsidRDefault="00590129" w:rsidP="00C34A7B">
      <w:r>
        <w:t xml:space="preserve">In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zullen regels voorkomen waarvan duidelijk moet zijn hoe er bij de toepassing ervan gemeten en/of gerekend moet worden. Dit zal onder andere het geval zijn bij omgevingswaarden (zie paragraaf </w:t>
      </w:r>
      <w:r>
        <w:fldChar w:fldCharType="begin"/>
      </w:r>
      <w:r>
        <w:instrText xml:space="preserve"> REF _Ref_e2f5fa0cc0f67e265b30eae799d44c05_104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6.4.7</w:t>
      </w:r>
      <w:r>
        <w:fldChar w:fldCharType="end"/>
      </w:r>
      <w:r>
        <w:t xml:space="preserve">) en omgevingsnormen (zie paragraaf </w:t>
      </w:r>
      <w:r>
        <w:fldChar w:fldCharType="begin"/>
      </w:r>
      <w:r>
        <w:instrText xml:space="preserve"> REF _Ref_70b07588f5bcccc211add9f1c3903d72_110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6.4.8</w:t>
      </w:r>
      <w:r>
        <w:fldChar w:fldCharType="end"/>
      </w:r>
      <w:r>
        <w:t>). Hoe gemeten en/of gerekend moet worden, wordt vastgelegd in meet- en rekenbepalingen.</w:t>
      </w:r>
    </w:p>
    <w:p w14:paraId="7240579E" w14:textId="77777777" w:rsidR="00C34A7B" w:rsidRDefault="00C34A7B" w:rsidP="00C34A7B"/>
    <w:p w14:paraId="296E49CD" w14:textId="5CF7E538" w:rsidR="00C34A7B" w:rsidRDefault="00590129" w:rsidP="00C34A7B">
      <w:r w:rsidRPr="005C5DF6">
        <w:t>Bij elkaar in één artikel of een bijlage plaatsen van meet- en rekenbepalingen zorgt er voor dat ze goed vindbaar zijn en draagt bij aan de eenduidigheid van regels.</w:t>
      </w:r>
      <w:r>
        <w:t xml:space="preserve"> Voorkomen wordt dat van eenzelfde onderwerp op meerdere plaatsen wordt vastgelegd hoe er bij de toepassing gemeten en/of gerekend moet worden en dat er daarbij onbedoeld verschillende wijzen van meten en/of rekenen worden voorgeschreven. Op deze manier is voor een opsteller makkelijk terug te vinden of een meet- of rekenbepaling al in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is </w:t>
      </w:r>
      <w:r>
        <w:lastRenderedPageBreak/>
        <w:t xml:space="preserve">opgenomen; iets wat -indien van toepassing- ook meervoudig bronhouderschap kan vergemakkelijken. Ook wordt op deze manier voorkomen dat er onduidelijkheid ontstaat over bij welk werkingsgebied een meet- of rekenbepaling hoort. Zoals in paragraaf </w:t>
      </w:r>
      <w:r>
        <w:fldChar w:fldCharType="begin"/>
      </w:r>
      <w:r>
        <w:instrText xml:space="preserve"> REF _Ref_8955caccfea628254c79ce099cb63abb_49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5.4</w:t>
      </w:r>
      <w:r>
        <w:fldChar w:fldCharType="end"/>
      </w:r>
      <w:r>
        <w:t xml:space="preserve"> is bepaald worden de meet- en rekenbepalingen bij deze methode in het artikel Meet- en rekenbepalingen in Hoofdstuk 1 dan wel in een specifieke bijlage met meet- en rekenbepalingen geplaatst.</w:t>
      </w:r>
    </w:p>
    <w:p w14:paraId="07120BA0" w14:textId="76565FFB" w:rsidR="00C34A7B" w:rsidRDefault="00590129" w:rsidP="00C34A7B">
      <w:r>
        <w:t xml:space="preserve">Het kan echter ook voorkomen dat een meet- of rekenbepaling zo contextgebonden is dat deze slechts voor één of een beperkt aantal artikelen van toepassing is. In zo’n geval kan het bevoegd gezag het wenselijk vinden om de meet- of rekenbepaling niet in </w:t>
      </w:r>
      <w:r w:rsidRPr="00130F90">
        <w:t>het artikel Meet- en rekenbepalingen</w:t>
      </w:r>
      <w:r>
        <w:t xml:space="preserve"> in hoofdstuk 1 te plaatsen maar direct in of bij de artikelen waarop zij van toepassing is. Beide methoden zijn toegestaan.</w:t>
      </w:r>
    </w:p>
    <w:p w14:paraId="35774973" w14:textId="05382B89" w:rsidR="00C34A7B" w:rsidRPr="00AA40DF" w:rsidRDefault="00590129" w:rsidP="00C34A7B">
      <w:r>
        <w:t>Aanbevolen wordt om in ieder geval de meet- en rekenbepalingen die in meerdere artikelen van toepassing zijn, bij elkaar te zetten in het artikel Meet- en rekenbepalingen in Hoofdstuk 1, dan wel in de specifieke bijlage met meet- en rekenbepalingen.</w:t>
      </w:r>
    </w:p>
    <w:p w14:paraId="568C79F8" w14:textId="77777777" w:rsidR="00C34A7B" w:rsidRDefault="00C34A7B" w:rsidP="00C34A7B"/>
    <w:p w14:paraId="6D7F175F" w14:textId="3D38D80A" w:rsidR="00C34A7B" w:rsidRDefault="00590129" w:rsidP="00C34A7B">
      <w:r>
        <w:t xml:space="preserve">Om het met wijzigingsbesluiten invoegen en verwijderen van meet- en rekenbepalingen eenvoudig te houden worden de meet- en rekenbepalingen die bij elkaar in het artikel Meet- en rekenbepalingen of in een specifieke bijlage met meet- en rekenbepalingen worden geplaatst, in alfabetische volgorde geplaatst zonder gebruik te maken van </w:t>
      </w:r>
      <w:r w:rsidRPr="00A728E7">
        <w:t>opsommingstekens in de vorm van nummers of letters</w:t>
      </w:r>
      <w:r>
        <w:t>.</w:t>
      </w:r>
    </w:p>
    <w:p w14:paraId="660CB4B1" w14:textId="77777777" w:rsidR="00C34A7B" w:rsidRDefault="00C34A7B" w:rsidP="00C34A7B"/>
    <w:p w14:paraId="212F2034" w14:textId="776B2777" w:rsidR="00C34A7B" w:rsidRDefault="00590129" w:rsidP="00C34A7B">
      <w:r w:rsidRPr="001F149C">
        <w:t xml:space="preserve">Meet- en rekenbepalingen </w:t>
      </w:r>
      <w:r w:rsidRPr="00680DB0">
        <w:t xml:space="preserve">die in een bijlage worden geplaatst maken onlosmakelijk deel uit van het juridische deel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680DB0">
        <w:t xml:space="preserve">. Om dat ook technisch te bewerkstelligen dienen dergelijke bijlagen in de Regeling te worden geplaatst en niet in een bijlage buiten </w:t>
      </w:r>
      <w:r>
        <w:t>de Regeling</w:t>
      </w:r>
      <w:r w:rsidRPr="00680DB0">
        <w:t xml:space="preserve">. Alles wat deel uitmaakt van </w:t>
      </w:r>
      <w:r>
        <w:t xml:space="preserve">de </w:t>
      </w:r>
      <w:r w:rsidRPr="00680DB0">
        <w:t xml:space="preserve">Regeling wordt doorgeleverd aan DSO-LV en is daar te raadplegen. </w:t>
      </w:r>
      <w:r w:rsidRPr="009B3609">
        <w:t xml:space="preserve">Meet- en rekenbepalingen </w:t>
      </w:r>
      <w:r w:rsidRPr="00680DB0">
        <w:t>die in een bijlage buiten de Regeling worden geplaatst, zijn in DSO-LV niet te raadplegen.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