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4268b2dbb29cd76b7925286d312e340d_9"/>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12A1EF29"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F7331B5"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0C8E940F"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