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41D06970" w:rsidR="00C34A7B" w:rsidRDefault="00590129" w:rsidP="00C34A7B">
      <w:r>
        <w:t>De tekststructuren van STOP kennen structuurelementen, elementen met inhoud, de inhoud zelf en een overkoepelend element.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Het overkoepelende element van het Lichaam is Regeling. In de navolgende tekst gebruiken we ‘tekstelement’ als term voor de vier element</w:t>
      </w:r>
      <w:r w:rsidRPr="005D23C6">
        <w:t>soorten</w:t>
      </w:r>
      <w:r>
        <w:t xml:space="preserve"> tezamen.</w:t>
      </w:r>
    </w:p>
    <w:p w14:paraId="7221B0D1" w14:textId="244D100E"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t xml:space="preserve"> zelf, oftewel het onderdeel</w:t>
      </w:r>
      <w:r w:rsidRPr="00F62F31">
        <w:t xml:space="preserve"> </w:t>
      </w:r>
      <w:r>
        <w:t xml:space="preserve">dat de artikelen bevat, </w:t>
      </w:r>
      <w:r w:rsidRPr="00F62F31">
        <w:t xml:space="preserve">zijn </w:t>
      </w:r>
      <w:r>
        <w:t>Regeling</w:t>
      </w:r>
      <w:r w:rsidRPr="00F62F31">
        <w:t>,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77777777" w:rsidR="00C34A7B" w:rsidRPr="00F62F31" w:rsidRDefault="00590129" w:rsidP="00C34A7B">
      <w:r w:rsidRPr="00F62F31">
        <w:t>De indeling werkt als volgt:</w:t>
      </w:r>
    </w:p>
    <w:p w14:paraId="4713DC90" w14:textId="7B747FEF" w:rsidR="00C34A7B" w:rsidRPr="00F62F31" w:rsidRDefault="00590129" w:rsidP="00C34A7B">
      <w:pPr>
        <w:pStyle w:val="Opsommingnummers1"/>
        <w:numPr>
          <w:ilvl w:val="0"/>
          <w:numId w:val="31"/>
        </w:numPr>
      </w:pPr>
      <w:r>
        <w:t>Regeling</w:t>
      </w:r>
      <w:r w:rsidRPr="00F62F31">
        <w:t xml:space="preserve"> is het overkoepelende element, de kapstok waar alle regels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onder hangen.</w:t>
      </w:r>
    </w:p>
    <w:p w14:paraId="60016397" w14:textId="4FFAD868" w:rsidR="00C34A7B" w:rsidRPr="00F62F31" w:rsidRDefault="00590129" w:rsidP="00C34A7B">
      <w:pPr>
        <w:pStyle w:val="Opsommingnummers1"/>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7F7FC03" w14:textId="77777777" w:rsidR="00C34A7B"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t xml:space="preserve"> </w:t>
      </w:r>
    </w:p>
    <w:p w14:paraId="503E9A08" w14:textId="424F518A"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68AF08E2"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fldChar w:fldCharType="begin"/>
      </w:r>
      <w:r>
        <w:instrText xml:space="preserve"> REF _Ref_c5ae7b365adb332bcca906f2a7c2c946_41 \n \h </w:instrText>
      </w:r>
      <w:r>
        <w:fldChar w:fldCharType="separate"/>
      </w:r>
      <w:r w:rsidR="00FD00CC">
        <w:t>Figuur 6</w:t>
      </w:r>
      <w:r>
        <w:fldChar w:fldCharType="end"/>
      </w:r>
      <w:r>
        <w:t xml:space="preserve"> voor een voorbeeld.</w:t>
      </w:r>
    </w:p>
    <w:p w14:paraId="7BFDB5FD" w14:textId="74B5A2DA"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5" w:name="_Ref_c5ae7b365adb332bcca906f2a7c2c946_41"/>
      <w:r>
        <w:t xml:space="preserve">Voorbeeld van een Artikel dat is onderverdeeld in Leden, het Artikel </w:t>
      </w:r>
      <w:r w:rsidRPr="00C26026">
        <w:t xml:space="preserve">zelf </w:t>
      </w:r>
      <w:r>
        <w:t>heeft geen Inhoud</w:t>
      </w:r>
      <w:bookmarkEnd w:id="75"/>
    </w:p>
    <w:p w14:paraId="6C05A7F0" w14:textId="2A5C6C93" w:rsidR="00C34A7B" w:rsidRPr="00742254" w:rsidRDefault="00590129" w:rsidP="00C34A7B">
      <w:r w:rsidRPr="00742254">
        <w:t xml:space="preserve">Onder ieder structuurelement kan </w:t>
      </w:r>
      <w:r w:rsidR="00F27725" w:rsidRPr="00F27725">
        <w:t xml:space="preserve">een element met </w:t>
      </w:r>
      <w:r w:rsidRPr="00742254">
        <w:t>de tekst ‘Gereserveerd’ worden geplaatst. Dat maakt het mogelijk om alvast een structuur neer te zetten die is voorbereid voor toekomstige aanvullingen. Met latere wijzigingsbesluiten kan de tekst ‘Gereserveerd’ worden vervangen door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