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 xml:space="preserve">Gemeenten kunnen in omgevingsvisie en omgevingsplan beleid en (andere) regels over geur opnemen en kunnen daarvoor gebruik maken van de Gebiedsaanwijzing Geur. Voor het </w:t>
      </w:r>
      <w:r>
        <w:lastRenderedPageBreak/>
        <w:t>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