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CB8" w14:textId="0C747D09" w:rsidR="00C34A7B" w:rsidRPr="00F62F31" w:rsidRDefault="00590129" w:rsidP="00C34A7B">
      <w:pPr>
        <w:pStyle w:val="Kop3"/>
      </w:pPr>
      <w:r>
        <w:t>STOP, IMOW</w:t>
      </w:r>
      <w:r w:rsidRPr="009C0AC0">
        <w:t xml:space="preserve"> </w:t>
      </w:r>
      <w:r>
        <w:t>en TPOD</w:t>
      </w:r>
    </w:p>
    <w:p w14:paraId="4DA60494" w14:textId="53F20FE7" w:rsidR="00C34A7B" w:rsidRDefault="00590129" w:rsidP="00C34A7B">
      <w:r w:rsidRPr="00A62533">
        <w:t>De Standaard voor Officiële Publicaties (</w:t>
      </w:r>
      <w:r>
        <w:t xml:space="preserve">verder: </w:t>
      </w:r>
      <w:r w:rsidRPr="00A62533">
        <w:t xml:space="preserve">STOP) omvat de beschrijving van de manier waarop digitale </w:t>
      </w:r>
      <w:r>
        <w:t>o</w:t>
      </w:r>
      <w:r w:rsidRPr="00A62533">
        <w:t xml:space="preserve">fficiële bekendmakingen worden opgesteld, uitgewisseld en gepresenteerd. </w:t>
      </w:r>
      <w:r>
        <w:t xml:space="preserve">STOP </w:t>
      </w:r>
      <w:r w:rsidRPr="00A62533">
        <w:t xml:space="preserve">ondersteunt het beschikbaar stellen van alle </w:t>
      </w:r>
      <w:r>
        <w:t>o</w:t>
      </w:r>
      <w:r w:rsidRPr="00A62533">
        <w:t>fficiële bekendmakingen. Het algemene doel is interoperabiliteit in dat proces van uitwisselen en beschikbaar stellen. STOP gaat daarbij niet over de inhoud van officiële bekendmakingen</w:t>
      </w:r>
      <w:r>
        <w:t>,</w:t>
      </w:r>
      <w:r w:rsidRPr="00A62533">
        <w:t xml:space="preserve"> maar beschrijft wel de mechanismen en bouwstenen om die inhoud digitaal vast te leggen.</w:t>
      </w:r>
    </w:p>
    <w:p w14:paraId="5453EF9D" w14:textId="61CDDEF6" w:rsidR="00C34A7B" w:rsidRPr="00F62F31" w:rsidRDefault="00C34A7B" w:rsidP="00C34A7B"/>
    <w:p w14:paraId="2C7EAA1D" w14:textId="4CDB7AB8" w:rsidR="00C34A7B" w:rsidRDefault="00590129" w:rsidP="00C34A7B">
      <w:r w:rsidRPr="002E1601">
        <w:t xml:space="preserve">Per domein kan een specificatie van </w:t>
      </w:r>
      <w:r>
        <w:t>ST</w:t>
      </w:r>
      <w:r w:rsidRPr="002E1601">
        <w:t xml:space="preserve">OP gemaakt worden. Voor de Omgevingswet is die specificatie gegeven in het Conceptueel InformatieModel Omgevingswet </w:t>
      </w:r>
      <w:r>
        <w:t xml:space="preserve">(verder: CIMOW) </w:t>
      </w:r>
      <w:r w:rsidRPr="002E1601">
        <w:t xml:space="preserve">en het InformatieModel Omgevingswet (verder: IMOW). </w:t>
      </w:r>
      <w:r>
        <w:t xml:space="preserve">CIMOW </w:t>
      </w:r>
      <w:r w:rsidRPr="00B366BD">
        <w:t>is het conceptuele model waarop informatiemodellen in de keten gebaseerd worden.</w:t>
      </w:r>
      <w:r>
        <w:t xml:space="preserve"> </w:t>
      </w:r>
      <w:r w:rsidRPr="002E1601">
        <w:t xml:space="preserve">IMOW </w:t>
      </w:r>
      <w:r>
        <w:t xml:space="preserve">is afgeleid van CIMOW en is het logische model dat is toegespitst op de keten ‘Van plan tot publicatie’. IMOW richt zich met name </w:t>
      </w:r>
      <w:r w:rsidRPr="002E1601">
        <w:t>op</w:t>
      </w:r>
      <w:r>
        <w:t xml:space="preserve"> omgevingsdocumenten</w:t>
      </w:r>
      <w:r w:rsidRPr="002E1601">
        <w:t xml:space="preserve"> in DSO-LV</w:t>
      </w:r>
      <w:r>
        <w:t>. IMOW</w:t>
      </w:r>
      <w:r w:rsidRPr="002E1601">
        <w:t xml:space="preserve"> omvat </w:t>
      </w:r>
      <w:r w:rsidRPr="00F028AD">
        <w:t xml:space="preserve">implementatierichtlijnen en </w:t>
      </w:r>
      <w:r>
        <w:lastRenderedPageBreak/>
        <w:t>implementatie</w:t>
      </w:r>
      <w:r w:rsidRPr="00F028AD">
        <w:t xml:space="preserve">-afspraken </w:t>
      </w:r>
      <w:r>
        <w:t xml:space="preserve">voor de omgevingsdocumenten. Daarnaast omvat het per type omgevingsdocument </w:t>
      </w:r>
      <w:r w:rsidRPr="002E1601">
        <w:t>een UML</w:t>
      </w:r>
      <w:r>
        <w:t>-klassediagram</w:t>
      </w:r>
      <w:r w:rsidRPr="002E1601">
        <w:t xml:space="preserve"> voor het </w:t>
      </w:r>
      <w:r>
        <w:t>annoteren</w:t>
      </w:r>
      <w:r w:rsidRPr="002E1601">
        <w:t xml:space="preserve"> van </w:t>
      </w:r>
      <w:r>
        <w:t>dat omgevingsdocument.</w:t>
      </w:r>
    </w:p>
    <w:p w14:paraId="31754D6C" w14:textId="54800383" w:rsidR="00C34A7B" w:rsidRPr="00F62F31" w:rsidRDefault="00C34A7B" w:rsidP="00C34A7B"/>
    <w:p w14:paraId="687195E4" w14:textId="478D4A40" w:rsidR="00C34A7B" w:rsidRDefault="00590129" w:rsidP="00C34A7B">
      <w:r>
        <w:t>Op welke wijze STOP en IMOW moeten worden toegepast is per omgevingsdocument beschreven in een Toepassingsprofiel</w:t>
      </w:r>
      <w:r w:rsidRPr="00025C3E">
        <w:t>.</w:t>
      </w:r>
      <w:r>
        <w:t xml:space="preserve"> Een Toepassingsprofiel</w:t>
      </w:r>
      <w:r w:rsidRPr="000C6FF8">
        <w:t xml:space="preserve"> is een nadere invulling c.q. beperking van de </w:t>
      </w:r>
      <w:r>
        <w:t>(</w:t>
      </w:r>
      <w:r w:rsidRPr="000C6FF8">
        <w:t>algemene</w:t>
      </w:r>
      <w:r>
        <w:t>)</w:t>
      </w:r>
      <w:r w:rsidRPr="000C6FF8">
        <w:t xml:space="preserve"> STOP en bevat domeinspecifieke afspraken. De </w:t>
      </w:r>
      <w:r>
        <w:t>toepassingsprofielen</w:t>
      </w:r>
      <w:r w:rsidRPr="000C6FF8">
        <w:t xml:space="preserve"> geven voor het specifieke domein aan welke specifieke regels er gelden voor inhoud en metadata (eigenschappen en waardelijsten).</w:t>
      </w:r>
    </w:p>
    <w:p w14:paraId="72CDE8E0" w14:textId="26D791AF" w:rsidR="00C34A7B" w:rsidRPr="00F62F31" w:rsidRDefault="00590129" w:rsidP="00C34A7B">
      <w:r w:rsidRPr="000C6FF8">
        <w:t xml:space="preserve">Voor de Omgevingswet is het </w:t>
      </w:r>
      <w:r>
        <w:t xml:space="preserve">gebruik van </w:t>
      </w:r>
      <w:r w:rsidRPr="00E40073">
        <w:t>ToepassingsProfielen voor OmgevingsDocumenten</w:t>
      </w:r>
      <w:r w:rsidRPr="000C6FF8">
        <w:t xml:space="preserve"> (TPOD) </w:t>
      </w:r>
      <w:r>
        <w:t>vereist</w:t>
      </w:r>
      <w:r w:rsidRPr="000C6FF8">
        <w:t xml:space="preserve"> en is er voor elk soort</w:t>
      </w:r>
      <w:r>
        <w:t xml:space="preserve"> omgevingsdocument </w:t>
      </w:r>
      <w:r w:rsidRPr="000C6FF8">
        <w:t xml:space="preserve">een apart toepassingsprofiel. </w:t>
      </w:r>
      <w:r w:rsidRPr="00F62F31">
        <w:t xml:space="preserve">Een TPOD beschrijft de informatiekundige specificaties conform </w:t>
      </w:r>
      <w:r>
        <w:t>ST</w:t>
      </w:r>
      <w:r w:rsidRPr="00F62F31">
        <w:t xml:space="preserve">OP </w:t>
      </w:r>
      <w:r>
        <w:t xml:space="preserve">en IMOW </w:t>
      </w:r>
      <w:r w:rsidRPr="00F62F31">
        <w:t>voor de (inhoudelijke) onderwerpen, de regels en richtlijnen die gelden voor het betreffende</w:t>
      </w:r>
      <w:r>
        <w:t xml:space="preserve"> omgevingsdocument</w:t>
      </w:r>
      <w:r w:rsidRPr="00F62F31">
        <w:t>. Het is in feite de schakel tussen de juridisch(-inhoudelijke) bepalingen in de Omgevingswet en de technische specificaties voor het ontwikkelen van software ten behoeve van het opstellen van de afzonderlijke</w:t>
      </w:r>
      <w:r>
        <w:t xml:space="preserve"> omgevingsdocumenten en de data die daarin wordt vastgelegd</w:t>
      </w:r>
      <w:r w:rsidRPr="00F62F31">
        <w:t>. Het TPOD is primair bedoeld voor informatie-specialisten</w:t>
      </w:r>
      <w:r>
        <w:t xml:space="preserve">, </w:t>
      </w:r>
      <w:r w:rsidRPr="00F62F31">
        <w:t xml:space="preserve">beleidsmedewerkers </w:t>
      </w:r>
      <w:r>
        <w:t xml:space="preserve">en juristen </w:t>
      </w:r>
      <w:r w:rsidRPr="00F62F31">
        <w:t>van de bevoegde gezagen, die de</w:t>
      </w:r>
      <w:r>
        <w:t xml:space="preserve"> omgevingsdocumenten</w:t>
      </w:r>
      <w:r w:rsidRPr="00F62F31">
        <w:t xml:space="preserve"> volgens de standaard inhoud en vorm zullen geven.</w:t>
      </w:r>
      <w:r>
        <w:t xml:space="preserve"> De </w:t>
      </w:r>
      <w:r w:rsidR="00800B78">
        <w:t>Wegwijzer</w:t>
      </w:r>
      <w:r>
        <w:t xml:space="preserve"> voor het betreffende omgevingsdocument vult dit aan met aanwijzingen en voorbeelden voor de </w:t>
      </w:r>
      <w:r>
        <w:rPr>
          <w:szCs w:val="18"/>
        </w:rPr>
        <w:t>concrete toepassing van de standaard.</w:t>
      </w:r>
    </w:p>
    <w:p w14:paraId="24AC32C2" w14:textId="77777777" w:rsidR="00C34A7B" w:rsidRPr="00F62F31" w:rsidRDefault="00C34A7B" w:rsidP="00C34A7B"/>
    <w:p w14:paraId="7D2406A7" w14:textId="053733AD" w:rsidR="00C34A7B" w:rsidRPr="00F62F31" w:rsidRDefault="00590129" w:rsidP="00C34A7B">
      <w:pPr>
        <w:pStyle w:val="Colofon"/>
        <w:ind w:left="0" w:firstLine="0"/>
      </w:pPr>
      <w:r w:rsidRPr="00F62F31">
        <w:t xml:space="preserve">Dit TPOD geeft uitwerking aan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en behoort bij een set van documenten die, als </w:t>
      </w:r>
      <w:r>
        <w:t xml:space="preserve">toepassing </w:t>
      </w:r>
      <w:r w:rsidRPr="00F62F31">
        <w:t>van STOP, ontwikkeld zijn voor het domein van de Omgevingswet:</w:t>
      </w:r>
    </w:p>
    <w:p w14:paraId="6A202E20" w14:textId="59A6A260" w:rsidR="00C34A7B" w:rsidRDefault="00590129" w:rsidP="00C34A7B">
      <w:pPr>
        <w:pStyle w:val="Opsommingtekens1"/>
      </w:pPr>
      <w:r w:rsidRPr="00F62F31">
        <w:t>Het Conceptueel Informatiemodel voor de Omgevingswet (CIMOW);</w:t>
      </w:r>
    </w:p>
    <w:p w14:paraId="1CCE26B2" w14:textId="7438032F" w:rsidR="00C34A7B" w:rsidRPr="00F62F31" w:rsidRDefault="00590129" w:rsidP="00C34A7B">
      <w:pPr>
        <w:pStyle w:val="Opsommingtekens1"/>
      </w:pPr>
      <w:r>
        <w:t>Het Informatiemodel Omgevingswet (IMOW);</w:t>
      </w:r>
    </w:p>
    <w:p w14:paraId="23DF086E" w14:textId="370C1319" w:rsidR="00C34A7B" w:rsidRDefault="00590129" w:rsidP="00C34A7B">
      <w:pPr>
        <w:pStyle w:val="Opsommingtekens1"/>
      </w:pPr>
      <w:r>
        <w:t>XSD’s; schema’s voor implementatie van IMOW in XML-formaat;</w:t>
      </w:r>
    </w:p>
    <w:p w14:paraId="3B5DB600" w14:textId="77777777" w:rsidR="00C34A7B" w:rsidRDefault="00590129" w:rsidP="00C34A7B">
      <w:pPr>
        <w:pStyle w:val="Opsommingtekens1"/>
      </w:pPr>
      <w:r>
        <w:t>Presentatiemodel;</w:t>
      </w:r>
    </w:p>
    <w:p w14:paraId="78C958AC" w14:textId="37436728" w:rsidR="00C34A7B" w:rsidRPr="00F62F31" w:rsidRDefault="00590129" w:rsidP="00C34A7B">
      <w:pPr>
        <w:pStyle w:val="Opsommingtekens1"/>
      </w:pPr>
      <w:r w:rsidRPr="00F62F31">
        <w:t>Toepassingsprofielen (TPOD</w:t>
      </w:r>
      <w:r>
        <w:t>’</w:t>
      </w:r>
      <w:r w:rsidRPr="00F62F31">
        <w:t xml:space="preserve">s) </w:t>
      </w:r>
      <w:r>
        <w:t>voor de omgevingsdocumenten</w:t>
      </w:r>
      <w:r w:rsidRPr="00F62F31">
        <w:t>;</w:t>
      </w:r>
    </w:p>
    <w:p w14:paraId="5C05CAD3" w14:textId="3AEC5CDA" w:rsidR="00C34A7B" w:rsidRPr="00F62F31" w:rsidRDefault="00590129" w:rsidP="00C34A7B">
      <w:pPr>
        <w:pStyle w:val="Opsommingtekens1"/>
      </w:pPr>
      <w:r w:rsidRPr="00F62F31">
        <w:t>Waardelijsten behorende bij de TPOD</w:t>
      </w:r>
      <w:r>
        <w:t>’</w:t>
      </w:r>
      <w:r w:rsidRPr="00F62F31">
        <w:t>s;</w:t>
      </w:r>
    </w:p>
    <w:p w14:paraId="32F4EF80" w14:textId="2EB4FFA3" w:rsidR="00C34A7B" w:rsidRPr="00F62F31" w:rsidRDefault="00590129" w:rsidP="00C34A7B">
      <w:pPr>
        <w:pStyle w:val="Opsommingtekens1"/>
      </w:pPr>
      <w:r>
        <w:t>Validatie- en conformiteitsregels;</w:t>
      </w:r>
    </w:p>
    <w:p w14:paraId="6542DD1D" w14:textId="70BFDE36" w:rsidR="00C34A7B" w:rsidRPr="00F62F31" w:rsidRDefault="00590129" w:rsidP="00C34A7B">
      <w:pPr>
        <w:pStyle w:val="Opsommingtekens1"/>
      </w:pPr>
      <w:r>
        <w:t xml:space="preserve">Wegwijzer </w:t>
      </w:r>
      <w:r w:rsidRPr="00F62F31">
        <w:t>op basis van de TPOD</w:t>
      </w:r>
      <w:r>
        <w:t>’</w:t>
      </w:r>
      <w:r w:rsidRPr="00F62F31">
        <w:t>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