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C34A7B" w:rsidRDefault="00590129" w:rsidP="00C34A7B">
      <w:pPr>
        <w:pStyle w:val="Kop3"/>
      </w:pPr>
      <w:r>
        <w:t>Inleiding</w:t>
      </w:r>
    </w:p>
    <w:p w14:paraId="172583DF" w14:textId="34E80E59" w:rsidR="00C34A7B" w:rsidRDefault="00590129" w:rsidP="00C34A7B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2D596BD5" w:rsidR="00C34A7B" w:rsidRDefault="00590129" w:rsidP="00C34A7B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>
        <w:fldChar w:fldCharType="begin"/>
      </w:r>
      <w:r>
        <w:instrText xml:space="preserve"> REF _Ref_88d1c3b5c6c0c24248a616a1835771e7_63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</w:t>
      </w:r>
      <w: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>
        <w:fldChar w:fldCharType="begin"/>
      </w:r>
      <w:r>
        <w:instrText xml:space="preserve"> REF _Ref_5c06e108876f3afd3576e5572c3baa02_71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6.3</w:t>
      </w:r>
      <w: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>
        <w:fldChar w:fldCharType="begin"/>
      </w:r>
      <w:r>
        <w:instrText xml:space="preserve"> REF _Ref_a6d2aaf02ca61fb5dc6f7bafabc0486d_72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</w:t>
      </w:r>
      <w: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C34A7B" w:rsidRDefault="00590129" w:rsidP="00C34A7B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