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4BCB" w14:textId="32711EC8" w:rsidR="00944C27" w:rsidRPr="005D0FAA" w:rsidRDefault="00944C27" w:rsidP="00944C27">
      <w:pPr>
        <w:pStyle w:val="Kop3"/>
      </w:pPr>
      <w:bookmarkStart w:id="13" w:name="_Ref_c57faee533f2954288a6d345d03510ef_9"/>
      <w:r w:rsidRPr="005D0FAA">
        <w:t>Kenschets rechtsfiguur</w:t>
      </w:r>
      <w:bookmarkEnd w:id="13"/>
    </w:p>
    <w:p w14:paraId="44006386" w14:textId="77777777" w:rsidR="00944C27" w:rsidRPr="005D0FAA" w:rsidRDefault="00944C27" w:rsidP="00944C27">
      <w:r w:rsidRPr="005D0FAA">
        <w:t xml:space="preserve">Rijk, provincies, waterschappen en gemeenten stellen elk (integraal) beleid en regels vast </w:t>
      </w:r>
      <w:r w:rsidR="00406A8A">
        <w:t xml:space="preserve">en nemen vervolgens andere (uitvoerings)besluiten </w:t>
      </w:r>
      <w:r w:rsidRPr="005D0FAA">
        <w:t xml:space="preserve">over de ontwikkeling, het gebruik, de bescherming en het beheer en onderhoud van de fysieke leefomgeving voor hun grondgebied. Zij leggen dit vast in één of meerdere </w:t>
      </w:r>
      <w:r w:rsidR="003646CA">
        <w:t>omgevingsdocumenten</w:t>
      </w:r>
      <w:r w:rsidRPr="005D0FAA">
        <w:t>.</w:t>
      </w:r>
    </w:p>
    <w:p w14:paraId="1D9B5A17" w14:textId="5DF6F181" w:rsidR="00944C27" w:rsidRPr="005D0FAA" w:rsidRDefault="00944C27" w:rsidP="00944C27">
      <w:r w:rsidRPr="005D0FAA">
        <w:t xml:space="preserve">Elk van deze bestuursorganen heeft in het stelsel voor het omgevingsrecht zijn eigen bevoegdheden en verantwoordelijkheden en daarmee samenhangende instrumenten, waaronder de </w:t>
      </w:r>
      <w:r w:rsidR="003646CA" w:rsidRPr="003646CA">
        <w:t>omgevingsdocumenten</w:t>
      </w:r>
      <w:r w:rsidRPr="005D0FAA">
        <w:t>.</w:t>
      </w:r>
    </w:p>
    <w:p w14:paraId="6BDBD582" w14:textId="77777777" w:rsidR="00944C27" w:rsidRPr="005D0FAA" w:rsidRDefault="00944C27" w:rsidP="00944C27"/>
    <w:p w14:paraId="6B9ABC0F" w14:textId="12A1EF29" w:rsidR="00944C27" w:rsidRPr="005D0FAA" w:rsidRDefault="00944C27" w:rsidP="00944C27">
      <w:r w:rsidRPr="005D0FAA">
        <w:t xml:space="preserve">De provincie stelt regels over de fysieke leefomgeving en legt deze vast in één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voor haar gehele grondgebied. 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bevat in de eerste plaats de regels die op grond van de Omgevingswet worden gesteld en daarnaast ook regels over de fysieke leefomgeving die worden gesteld op grond van de Provinciewet en andere bijzondere wetten.</w:t>
      </w:r>
    </w:p>
    <w:p w14:paraId="2A2D7194" w14:textId="77777777" w:rsidR="00944C27" w:rsidRPr="005D0FAA" w:rsidRDefault="00944C27" w:rsidP="00944C27"/>
    <w:p w14:paraId="2C6B046C" w14:textId="6F7331B5" w:rsidR="00944C27" w:rsidRPr="005D0FAA" w:rsidRDefault="00944C27" w:rsidP="00944C27">
      <w:r w:rsidRPr="005D0FAA">
        <w:t xml:space="preserve">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zorgt ervoor dat het beleid en de doelen zoals opgenomen in de Omgevingswet, AMvB</w:t>
      </w:r>
      <w:r w:rsidR="00672985">
        <w:t>’</w:t>
      </w:r>
      <w:r w:rsidRPr="005D0FAA">
        <w:t>s en de provinciale omgevingsvisie en programma</w:t>
      </w:r>
      <w:r w:rsidR="00672985">
        <w:t>’</w:t>
      </w:r>
      <w:r w:rsidRPr="005D0FAA">
        <w:t>s doorwerken naar derden. De provincie kan daartoe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algemeen bindende regels en instructieregels opnemen, omgevingswaarden vaststellen en beperkingengebieden aanwijzen.</w:t>
      </w:r>
    </w:p>
    <w:p w14:paraId="20956BEB" w14:textId="77777777" w:rsidR="00944C27" w:rsidRPr="005D0FAA" w:rsidRDefault="00944C27" w:rsidP="00944C27"/>
    <w:p w14:paraId="1F59D131" w14:textId="0C8E940F" w:rsidR="00944C27" w:rsidRPr="005D0FAA" w:rsidRDefault="00944C27" w:rsidP="00944C27">
      <w:r w:rsidRPr="005D0FAA">
        <w:t>Voor zover het gaat om regels waarmee functies aan locaties worden toegedeeld ligt het primaat bij het omgevingsplan. Het uitgangspunt is dat de provincie op dat punt alleen instructieregels opneemt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over de inhoud van omgevingsplannen. Alleen als het onderwerp van zorg niet doelmatig en doeltreffend met een instructieregel of een instructie kan worden behartigd, kunnen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regels worden gesteld over activiteiten die gevolgen (kunnen) hebben voor de fysieke leefomgeving met het oog op een evenwichtige toedeling van functies aan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