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C34A7B" w:rsidRDefault="00590129" w:rsidP="00C34A7B">
      <w:pPr>
        <w:pStyle w:val="Kop5"/>
      </w:pPr>
      <w:bookmarkStart w:id="120" w:name="_Ref_71a4769c2bf2dc0d9a0a412df9486caa_66"/>
      <w:r>
        <w:t>Divisie en Tekstdeel</w:t>
      </w:r>
      <w:bookmarkEnd w:id="120"/>
    </w:p>
    <w:p w14:paraId="4BC5C551" w14:textId="09DCE631" w:rsidR="00C34A7B" w:rsidRDefault="00590129" w:rsidP="00C34A7B">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inhoudelijke IMOW-objecten (zie daarvoor paragraaf </w:t>
      </w:r>
      <w:r>
        <w:fldChar w:fldCharType="begin"/>
      </w:r>
      <w:r>
        <w:instrText xml:space="preserve"> REF _Ref_a6d2aaf02ca61fb5dc6f7bafabc0486d_72 </w:instrText>
      </w:r>
      <w:r w:rsidR="002137A7">
        <w:instrText>\n \h</w:instrText>
      </w:r>
      <w:r>
        <w:instrText xml:space="preserve"> </w:instrText>
      </w:r>
      <w:r>
        <w:fldChar w:fldCharType="separate"/>
      </w:r>
      <w:r w:rsidR="00FD00CC">
        <w:t>6.4</w:t>
      </w:r>
      <w:r>
        <w:fldChar w:fldCharType="end"/>
      </w:r>
      <w:r>
        <w:t>) te kunnen koppelen. Een Divisie bevat altijd ten minste één Tekstdeel; wanneer dat gewenst is kan een Divisie meerdere Tekstdelen bevatten.</w:t>
      </w:r>
    </w:p>
    <w:p w14:paraId="7F9FA6EC" w14:textId="3BD1A268" w:rsidR="00C34A7B" w:rsidRDefault="00590129" w:rsidP="00C34A7B">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