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66BA813F" w:rsidR="00C34A7B" w:rsidRPr="00F62F31" w:rsidRDefault="00590129" w:rsidP="00C34A7B">
      <w:pPr>
        <w:pStyle w:val="Kop3"/>
      </w:pPr>
      <w:bookmarkStart w:id="94" w:name="_Ref_ab232e3074cb44caae7eeb6471dfe1bf_49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bookmarkEnd w:id="94"/>
    </w:p>
    <w:p w14:paraId="7563CEE3" w14:textId="5A4B97D8" w:rsidR="00C34A7B" w:rsidRPr="00F62F31" w:rsidRDefault="00A81E04" w:rsidP="00C34A7B">
      <w:fldSimple w:instr=" DOCVARIABLE ID01+_CAPS ">
        <w:r w:rsidR="00FD00CC">
          <w:t>De omgevingsverordening</w:t>
        </w:r>
      </w:fldSimple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