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C34A7B" w:rsidRDefault="00590129" w:rsidP="00C34A7B">
      <w:pPr>
        <w:pStyle w:val="Kop5"/>
      </w:pPr>
      <w:r>
        <w:t>Raadplegen in DSO-LV</w:t>
      </w:r>
    </w:p>
    <w:p w14:paraId="4CA800A1" w14:textId="03EF6461" w:rsidR="00C34A7B" w:rsidRDefault="00590129" w:rsidP="00C34A7B">
      <w:r>
        <w:t xml:space="preserve">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w:t>
      </w:r>
      <w:r w:rsidRPr="00CE096B">
        <w:t>locaties</w:t>
      </w:r>
      <w:r>
        <w:t>. De getoonde tekst komt uit de geconsolideerde Regelingen vanuit de officiële publicatiebladen.</w:t>
      </w:r>
    </w:p>
    <w:p w14:paraId="642CEFC3" w14:textId="77777777" w:rsidR="00C34A7B" w:rsidRDefault="00590129" w:rsidP="00C34A7B">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