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.png" ContentType="image/png"/>
  <Override PartName="/word/media/rId26.png" ContentType="image/png"/>
  <Override PartName="/word/media/rId29.png" ContentType="image/png"/>
  <Override PartName="/word/media/rId35.png" ContentType="image/png"/>
  <Override PartName="/word/media/rId49.png" ContentType="image/png"/>
  <Override PartName="/word/media/rId4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d0a271fd634d5ab5567903c434bf89485552764"/>
    <w:p>
      <w:pPr>
        <w:pStyle w:val="Heading1"/>
      </w:pPr>
      <w:r>
        <w:t xml:space="preserve">Quantitative Options Analysis Toolkit: A Containerized Platform for Front-Office Derivatives Analytics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presents the Quantitative Options Analysis Toolkit (QOAT), an integrated, containerized web application designed to support the full workflow of a front-office quantitative analyst on an options trading desk. The system encompasses six functional modules—options pricing, volatility surface modeling, strategy backtesting, scenario simulation, profit-and-loss attribution, and real-time risk monitoring—deployed within a Docker container for reproducible, environment-independent operation. Built entirely in Python with a Streamlit-based interactive dashboard, QOAT implements industry-standard quantitative models including Black-Scholes analytical pricing, the Heston stochastic volatility model via characteristic function integration, SABR volatility calibration (Hagan et al., 2002), and Taylor-expansion-based P&amp;L decomposition. This paper describes the system architecture, the mathematical foundations underlying each module, the implementation methodology, and representative use cases drawn from options market-making and proprietary trading contexts.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Modern options market-making and proprietary trading desks require a tightly integrated suite of quantitative tools that span the entire trade lifecycle—from pre-trade analytics and model calibration through real-time risk monitoring to post-trade performance attribution. Quantitative analysts (</w:t>
      </w:r>
      <w:r>
        <w:t xml:space="preserve">“quants”</w:t>
      </w:r>
      <w:r>
        <w:t xml:space="preserve">) operating in this environment must bridge the gap between theoretical derivatives pricing models and the practical demands of a live trading operation, including accurate volatility fitting, robust strategy backtesting, rapid scenario analysis, and rigorous P&amp;L explanation.</w:t>
      </w:r>
    </w:p>
    <w:p>
      <w:pPr>
        <w:pStyle w:val="BodyText"/>
      </w:pPr>
      <w:r>
        <w:t xml:space="preserve">Despite the availability of commercial platforms such as Bloomberg DLIB, Murex, and Calypso, there remains a persistent need for lightweight, customizable, Python-native toolkits that can be rapidly prototyped, iterated upon, and deployed alongside production C++ pricing libraries. Such tools serve as the research and prototyping layer that quants use to validate new models before handing them off to developers for productionization.</w:t>
      </w:r>
    </w:p>
    <w:p>
      <w:pPr>
        <w:pStyle w:val="BodyText"/>
      </w:pPr>
      <w:r>
        <w:t xml:space="preserve">The Quantitative Options Analysis Toolkit (QOAT) addresses this need by providing a modular, Dockerized platform with six core functional areas: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Options Pricer &amp; Greeks Calculator</w:t>
      </w:r>
      <w:r>
        <w:t xml:space="preserve"> </w:t>
      </w:r>
      <w:r>
        <w:t xml:space="preserve">— Multi-model pricing with full analytical and numerical Greeks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Volatility Surface &amp; SABR Calibration</w:t>
      </w:r>
      <w:r>
        <w:t xml:space="preserve"> </w:t>
      </w:r>
      <w:r>
        <w:t xml:space="preserve">— 3D surface construction and stochastic volatility model fitting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 Backtester</w:t>
      </w:r>
      <w:r>
        <w:t xml:space="preserve"> </w:t>
      </w:r>
      <w:r>
        <w:t xml:space="preserve">— Delta hedging simulation and multi-leg strategy evaluation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Scenario Simulator &amp; Stress Testing</w:t>
      </w:r>
      <w:r>
        <w:t xml:space="preserve"> </w:t>
      </w:r>
      <w:r>
        <w:t xml:space="preserve">— Portfolio-level what-if analysis across multiple risk dimensions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P&amp;L Attribution</w:t>
      </w:r>
      <w:r>
        <w:t xml:space="preserve"> </w:t>
      </w:r>
      <w:r>
        <w:t xml:space="preserve">— Greeks-based decomposition of daily profit and loss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Dashboard</w:t>
      </w:r>
      <w:r>
        <w:t xml:space="preserve"> </w:t>
      </w:r>
      <w:r>
        <w:t xml:space="preserve">— Real-time portfolio monitoring with VaR, Greeks exposure, and configurable alerts</w:t>
      </w:r>
    </w:p>
    <w:p>
      <w:pPr>
        <w:pStyle w:val="FirstParagraph"/>
      </w:pPr>
      <w:r>
        <w:t xml:space="preserve">The remainder of this paper is organized as follows: Section 2 describes the system architecture and deployment model. Sections 3 through 8 detail each module’s mathematical foundations and implementation. Section 9 discusses the technology stack, and Section 10 concludes with directions for future development.</w:t>
      </w:r>
    </w:p>
    <w:bookmarkEnd w:id="10"/>
    <w:bookmarkStart w:id="17" w:name="system-architecture"/>
    <w:p>
      <w:pPr>
        <w:pStyle w:val="Heading2"/>
      </w:pPr>
      <w:r>
        <w:t xml:space="preserve">2. System Architecture</w:t>
      </w:r>
    </w:p>
    <w:bookmarkStart w:id="11" w:name="deployment-model"/>
    <w:p>
      <w:pPr>
        <w:pStyle w:val="Heading3"/>
      </w:pPr>
      <w:r>
        <w:t xml:space="preserve">2.1 Deployment Model</w:t>
      </w:r>
    </w:p>
    <w:p>
      <w:pPr>
        <w:pStyle w:val="FirstParagraph"/>
      </w:pPr>
      <w:r>
        <w:t xml:space="preserve">QOAT is packaged as a single Docker container, ensuring environment-independent reproducibility. 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configuration exposes the application on port 8501 with a volume mount for live code reloading during development: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quant-tool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quant-options-toolkit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"8501:8501"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STREAMLIT_SERVER_RUN_ON_SAVE=true</w:t>
      </w:r>
    </w:p>
    <w:p>
      <w:pPr>
        <w:pStyle w:val="FirstParagraph"/>
      </w:pPr>
      <w:r>
        <w:t xml:space="preserve">The Docker image is based on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with a health check endpoint to support orchestration and monitoring.</w:t>
      </w:r>
    </w:p>
    <w:bookmarkEnd w:id="11"/>
    <w:bookmarkStart w:id="12" w:name="application-structure"/>
    <w:p>
      <w:pPr>
        <w:pStyle w:val="Heading3"/>
      </w:pPr>
      <w:r>
        <w:t xml:space="preserve">2.2 Application Structure</w:t>
      </w:r>
    </w:p>
    <w:p>
      <w:pPr>
        <w:pStyle w:val="FirstParagraph"/>
      </w:pPr>
      <w:r>
        <w:t xml:space="preserve">The codebase follows a clean separation between core quantitative logic and presentation:</w:t>
      </w:r>
    </w:p>
    <w:p>
      <w:pPr>
        <w:pStyle w:val="SourceCode"/>
      </w:pPr>
      <w:r>
        <w:rPr>
          <w:rStyle w:val="VerbatimChar"/>
        </w:rPr>
        <w:t xml:space="preserve">quant-tool/</w:t>
      </w:r>
      <w:r>
        <w:br/>
      </w:r>
      <w:r>
        <w:rPr>
          <w:rStyle w:val="VerbatimChar"/>
        </w:rPr>
        <w:t xml:space="preserve">├── Home.py                      # Main entry point and navigation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1_Options_Pricer.py</w:t>
      </w:r>
      <w:r>
        <w:br/>
      </w:r>
      <w:r>
        <w:rPr>
          <w:rStyle w:val="VerbatimChar"/>
        </w:rPr>
        <w:t xml:space="preserve">│   ├── 2_Volatility_Surface.py</w:t>
      </w:r>
      <w:r>
        <w:br/>
      </w:r>
      <w:r>
        <w:rPr>
          <w:rStyle w:val="VerbatimChar"/>
        </w:rPr>
        <w:t xml:space="preserve">│   ├── 3_Strategy_Backtester.py</w:t>
      </w:r>
      <w:r>
        <w:br/>
      </w:r>
      <w:r>
        <w:rPr>
          <w:rStyle w:val="VerbatimChar"/>
        </w:rPr>
        <w:t xml:space="preserve">│   ├── 4_Scenario_Simulator.py</w:t>
      </w:r>
      <w:r>
        <w:br/>
      </w:r>
      <w:r>
        <w:rPr>
          <w:rStyle w:val="VerbatimChar"/>
        </w:rPr>
        <w:t xml:space="preserve">│   ├── 5_PnL_Attribution.py</w:t>
      </w:r>
      <w:r>
        <w:br/>
      </w:r>
      <w:r>
        <w:rPr>
          <w:rStyle w:val="VerbatimChar"/>
        </w:rPr>
        <w:t xml:space="preserve">│   └── 6_Risk_Dashboard.py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pricing.py               # BS + Heston pricing engines</w:t>
      </w:r>
      <w:r>
        <w:br/>
      </w:r>
      <w:r>
        <w:rPr>
          <w:rStyle w:val="VerbatimChar"/>
        </w:rPr>
        <w:t xml:space="preserve">│   ├── greeks.py                # Analytical and numerical Greeks</w:t>
      </w:r>
      <w:r>
        <w:br/>
      </w:r>
      <w:r>
        <w:rPr>
          <w:rStyle w:val="VerbatimChar"/>
        </w:rPr>
        <w:t xml:space="preserve">│   ├── volatility.py            # SABR model + vol surface construction</w:t>
      </w:r>
      <w:r>
        <w:br/>
      </w:r>
      <w:r>
        <w:rPr>
          <w:rStyle w:val="VerbatimChar"/>
        </w:rPr>
        <w:t xml:space="preserve">│   ├── backtesting.py           # Simulation and backtest engines</w:t>
      </w:r>
      <w:r>
        <w:br/>
      </w:r>
      <w:r>
        <w:rPr>
          <w:rStyle w:val="VerbatimChar"/>
        </w:rPr>
        <w:t xml:space="preserve">│   ├── scenarios.py             # Scenario and stress testing</w:t>
      </w:r>
      <w:r>
        <w:br/>
      </w:r>
      <w:r>
        <w:rPr>
          <w:rStyle w:val="VerbatimChar"/>
        </w:rPr>
        <w:t xml:space="preserve">│   └── pnl.py                   # P&amp;L attribution engine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└── requirements.txt</w:t>
      </w:r>
    </w:p>
    <w:p>
      <w:pPr>
        <w:pStyle w:val="FirstParagraph"/>
      </w:pPr>
      <w:r>
        <w:t xml:space="preserve">This separation ensures that the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modules can be independently tested, imported into Jupyter notebooks for ad hoc research, or compiled as a standalone library.</w:t>
      </w:r>
    </w:p>
    <w:bookmarkEnd w:id="12"/>
    <w:bookmarkStart w:id="16" w:name="home-page"/>
    <w:p>
      <w:pPr>
        <w:pStyle w:val="Heading3"/>
      </w:pPr>
      <w:r>
        <w:t xml:space="preserve">2.3 Home Page</w:t>
      </w:r>
    </w:p>
    <w:p>
      <w:pPr>
        <w:pStyle w:val="FirstParagraph"/>
      </w:pPr>
      <w:r>
        <w:t xml:space="preserve">The home page provides an overview of all available modules and their capabilities, serving as a central navigation hub.</w:t>
      </w:r>
    </w:p>
    <w:p>
      <w:pPr>
        <w:pStyle w:val="CaptionedFigure"/>
      </w:pPr>
      <w:r>
        <w:drawing>
          <wp:inline>
            <wp:extent cx="5334000" cy="4838648"/>
            <wp:effectExtent b="0" l="0" r="0" t="0"/>
            <wp:docPr descr="Figure 1: QOAT Home Page — Central navigation hub listing all six analytical modules and the underlying technical stack." title="" id="14" name="Picture"/>
            <a:graphic>
              <a:graphicData uri="http://schemas.openxmlformats.org/drawingml/2006/picture">
                <pic:pic>
                  <pic:nvPicPr>
                    <pic:cNvPr descr="screenshots/01_hom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QOAT Home Page — Central navigation hub listing all six analytical modules and the underlying technical stack.</w:t>
      </w:r>
    </w:p>
    <w:bookmarkEnd w:id="16"/>
    <w:bookmarkEnd w:id="17"/>
    <w:bookmarkStart w:id="24" w:name="Xc6019fd3d1bf121d196a0bcb97981467d7fd9e6"/>
    <w:p>
      <w:pPr>
        <w:pStyle w:val="Heading2"/>
      </w:pPr>
      <w:r>
        <w:t xml:space="preserve">3. Module 1: Options Pricer &amp; Greeks Calculator</w:t>
      </w:r>
    </w:p>
    <w:bookmarkStart w:id="18" w:name="black-scholes-pricing"/>
    <w:p>
      <w:pPr>
        <w:pStyle w:val="Heading3"/>
      </w:pPr>
      <w:r>
        <w:t xml:space="preserve">3.1 Black-Scholes Pricing</w:t>
      </w:r>
    </w:p>
    <w:p>
      <w:pPr>
        <w:pStyle w:val="FirstParagraph"/>
      </w:pPr>
      <w:r>
        <w:t xml:space="preserve">The foundation of the pricing engine is the Black-Scholes (1973) closed-form solution for European options: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S</m:t>
          </m:r>
          <m:r>
            <m:t> 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t> 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T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σ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</m:oMath>
      </m:oMathPara>
    </w:p>
    <w:p>
      <w:pPr>
        <w:pStyle w:val="FirstParagraph"/>
      </w:pPr>
      <w:r>
        <w:t xml:space="preserve">Implied volatility is recovered via Brent’s root-finding algorithm over the interval</w:t>
      </w:r>
      <w:r>
        <w:t xml:space="preserve"> </w:t>
      </w:r>
      <m:oMath>
        <m:r>
          <m:rPr>
            <m:sty m:val="p"/>
          </m:rPr>
          <m:t>[</m:t>
        </m:r>
        <m:r>
          <m:t>ϵ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analytical-greeks"/>
    <w:p>
      <w:pPr>
        <w:pStyle w:val="Heading3"/>
      </w:pPr>
      <w:r>
        <w:t xml:space="preserve">3.2 Analytical Greeks</w:t>
      </w:r>
    </w:p>
    <w:p>
      <w:pPr>
        <w:pStyle w:val="FirstParagraph"/>
      </w:pPr>
      <w:r>
        <w:t xml:space="preserve">The system computes nine analytical Greeks: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299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Greek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(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(call)</w:t>
            </w:r>
          </w:p>
        </w:tc>
        <w:tc>
          <w:tcPr/>
          <w:p>
            <w:pPr>
              <w:pStyle w:val="Compact"/>
            </w:pPr>
            <w:r>
              <w:t xml:space="preserve">Sensitivity to spot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 (</w:t>
            </w:r>
            <m:oMath>
              <m:r>
                <m:rPr>
                  <m:sty m:val="p"/>
                </m:rPr>
                <m:t>Γ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Curvature of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Vega (</w:t>
            </w:r>
            <m:oMath>
              <m:r>
                <m:rPr>
                  <m:scr m:val="script"/>
                  <m:sty m:val="p"/>
                </m:rPr>
                <m:t>V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Sensitivity to volatility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Theta (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S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σ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Time decay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Rho (</w:t>
            </w:r>
            <m:oMath>
              <m:r>
                <m:t>ρ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t>T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Sensitivity to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Vanna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t xml:space="preserve">Cross-sensitivity: delta to vol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Volga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  <m:r>
                <m:rPr>
                  <m:sty m:val="p"/>
                </m:rPr>
                <m:t>⋅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t xml:space="preserve">Convexity of vega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Charm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Delta decay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Rate of gamma change</w:t>
            </w:r>
          </w:p>
        </w:tc>
      </w:tr>
    </w:tbl>
    <w:bookmarkEnd w:id="19"/>
    <w:bookmarkStart w:id="23" w:name="heston-stochastic-volatility-model"/>
    <w:p>
      <w:pPr>
        <w:pStyle w:val="Heading3"/>
      </w:pPr>
      <w:r>
        <w:t xml:space="preserve">3.3 Heston Stochastic Volatility Model</w:t>
      </w:r>
    </w:p>
    <w:p>
      <w:pPr>
        <w:pStyle w:val="FirstParagraph"/>
      </w:pPr>
      <w:r>
        <w:t xml:space="preserve">For a more realistic treatment of volatility dynamics, QOAT implements the Heston (1993)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t>μ</m:t>
          </m:r>
          <m:r>
            <m:t>S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v</m:t>
              </m:r>
            </m:e>
          </m:rad>
          <m:r>
            <m:t> </m:t>
          </m:r>
          <m:r>
            <m:t>S</m:t>
          </m:r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κ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v</m:t>
              </m:r>
            </m:sub>
          </m:sSub>
          <m:rad>
            <m:radPr>
              <m:degHide m:val="on"/>
            </m:radPr>
            <m:deg/>
            <m:e>
              <m:r>
                <m:t>v</m:t>
              </m:r>
            </m:e>
          </m:rad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Corr</m:t>
          </m:r>
          <m:r>
            <m:rPr>
              <m:sty m:val="p"/>
            </m:rPr>
            <m:t>(</m:t>
          </m:r>
          <m:r>
            <m:t>d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d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ρ</m:t>
          </m:r>
        </m:oMath>
      </m:oMathPara>
    </w:p>
    <w:p>
      <w:pPr>
        <w:pStyle w:val="FirstParagraph"/>
      </w:pPr>
      <w:r>
        <w:t xml:space="preserve">Pricing is performed via numerical integration of the characteristic function using the Albrecher et al. formulation for numerical stability. The call price is obtained as: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S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probabilities computed via: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nor/>
                  <m:sty m:val="p"/>
                </m:rPr>
                <m:t>Re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K</m:t>
                      </m:r>
                    </m:sup>
                  </m:sSup>
                  <m:sSub>
                    <m:e>
                      <m:r>
                        <m:t>ϕ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i</m:t>
                  </m:r>
                  <m:r>
                    <m:t>u</m:t>
                  </m:r>
                </m:den>
              </m:f>
            </m:e>
          </m:d>
          <m:r>
            <m:t>d</m:t>
          </m:r>
          <m:r>
            <m:t>u</m:t>
          </m:r>
        </m:oMath>
      </m:oMathPara>
    </w:p>
    <w:p>
      <w:pPr>
        <w:pStyle w:val="FirstParagraph"/>
      </w:pPr>
      <w:r>
        <w:t xml:space="preserve">The integral is evaluated using</w:t>
      </w:r>
      <w:r>
        <w:t xml:space="preserve"> </w:t>
      </w:r>
      <w:r>
        <w:rPr>
          <w:rStyle w:val="VerbatimChar"/>
        </w:rPr>
        <w:t xml:space="preserve">scipy.integrate.quad</w:t>
      </w:r>
      <w:r>
        <w:t xml:space="preserve"> </w:t>
      </w:r>
      <w:r>
        <w:t xml:space="preserve">with adaptive quadrature up to 200 in the integration domain.</w:t>
      </w:r>
    </w:p>
    <w:p>
      <w:pPr>
        <w:pStyle w:val="CaptionedFigure"/>
      </w:pPr>
      <w:r>
        <w:drawing>
          <wp:inline>
            <wp:extent cx="5334000" cy="4838648"/>
            <wp:effectExtent b="0" l="0" r="0" t="0"/>
            <wp:docPr descr="Figure 2: Options Pricer — Black-Scholes tab showing price ($4.6150 for an ATM 3-month call at 20% vol) with all nine analytical Greeks displayed. The interface includes tabs for Heston pricing with implied volatility smile visualization and interactive Greeks profiles." title="" id="21" name="Picture"/>
            <a:graphic>
              <a:graphicData uri="http://schemas.openxmlformats.org/drawingml/2006/picture">
                <pic:pic>
                  <pic:nvPicPr>
                    <pic:cNvPr descr="screenshots/02_options_pric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Options Pricer — Black-Scholes tab showing price ($4.6150 for an ATM 3-month call at 20% vol) with all nine analytical Greeks displayed. The interface includes tabs for Heston pricing with implied volatility smile visualization and interactive Greeks profiles.</w:t>
      </w:r>
    </w:p>
    <w:bookmarkEnd w:id="23"/>
    <w:bookmarkEnd w:id="24"/>
    <w:bookmarkStart w:id="33" w:name="Xc2aeea617fb5cfa27d3584453243c566136e8a7"/>
    <w:p>
      <w:pPr>
        <w:pStyle w:val="Heading2"/>
      </w:pPr>
      <w:r>
        <w:t xml:space="preserve">4. Module 2: Volatility Surface &amp; SABR Calibration</w:t>
      </w:r>
    </w:p>
    <w:bookmarkStart w:id="25" w:name="surface-construction"/>
    <w:p>
      <w:pPr>
        <w:pStyle w:val="Heading3"/>
      </w:pPr>
      <w:r>
        <w:t xml:space="preserve">4.1 Surface Construction</w:t>
      </w:r>
    </w:p>
    <w:p>
      <w:pPr>
        <w:pStyle w:val="FirstParagraph"/>
      </w:pPr>
      <w:r>
        <w:t xml:space="preserve">The volatility surface is constructed from a matrix of implied volatilities across strikes and expiries. Interpolation is performed via</w:t>
      </w:r>
      <w:r>
        <w:t xml:space="preserve"> </w:t>
      </w:r>
      <w:r>
        <w:rPr>
          <w:rStyle w:val="VerbatimChar"/>
        </w:rPr>
        <w:t xml:space="preserve">scipy.interpolate.RectBivariateSpline</w:t>
      </w:r>
      <w:r>
        <w:t xml:space="preserve"> </w:t>
      </w:r>
      <w:r>
        <w:t xml:space="preserve">using cubic spline basis functions in both dimensions.</w:t>
      </w:r>
    </w:p>
    <w:p>
      <w:pPr>
        <w:pStyle w:val="BodyText"/>
      </w:pPr>
      <w:r>
        <w:t xml:space="preserve">For demonstration and testing, the system generates synthetic surfaces with realistic features: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i</m:t>
              </m:r>
              <m:r>
                <m:t>m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/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/</m:t>
          </m:r>
          <m:r>
            <m:t>S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γ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controls the skew,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smile convexity, 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the term structure flattening.</w:t>
      </w:r>
    </w:p>
    <w:bookmarkEnd w:id="25"/>
    <w:bookmarkStart w:id="32" w:name="sabr-calibration"/>
    <w:p>
      <w:pPr>
        <w:pStyle w:val="Heading3"/>
      </w:pPr>
      <w:r>
        <w:t xml:space="preserve">4.2 SABR Calibration</w:t>
      </w:r>
    </w:p>
    <w:p>
      <w:pPr>
        <w:pStyle w:val="FirstParagraph"/>
      </w:pPr>
      <w:r>
        <w:t xml:space="preserve">The SABR model (Hagan et al., 2002) provides a parametric approximation for the implied volatility smile: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rPr>
                  <m:sty m:val="p"/>
                </m:rPr>
                <m:t>(</m:t>
              </m:r>
              <m:r>
                <m:t>F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z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24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F</m:t>
                      </m:r>
                      <m:r>
                        <m:t>K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β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t>β</m:t>
                      </m:r>
                      <m:r>
                        <m:t>ν</m:t>
                      </m:r>
                      <m:r>
                        <m:t>α</m:t>
                      </m:r>
                    </m:num>
                    <m:den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F</m:t>
                      </m:r>
                      <m:r>
                        <m:t>K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The calibration routine minimizes the sum of squared differences between model and market implied volatilities using the Nelder-Mead simplex algorithm. The user can fix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(commonly 0, 0.5, or 1) and calibrate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ρ</m:t>
        </m:r>
      </m:oMath>
      <w:r>
        <w:t xml:space="preserve">, and</w:t>
      </w:r>
      <w:r>
        <w:t xml:space="preserve"> </w:t>
      </w:r>
      <m:oMath>
        <m:r>
          <m:t>ν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4838648"/>
            <wp:effectExtent b="0" l="0" r="0" t="0"/>
            <wp:docPr descr="Figure 3: Volatility Surface — 3D implied volatility surface with realistic skew and term structure. The surface shows higher implied volatilities for out-of-the-money puts (left) and short-dated options." title="" id="27" name="Picture"/>
            <a:graphic>
              <a:graphicData uri="http://schemas.openxmlformats.org/drawingml/2006/picture">
                <pic:pic>
                  <pic:nvPicPr>
                    <pic:cNvPr descr="screenshots/03_vol_surfac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Volatility Surface — 3D implied volatility surface with realistic skew and term structure. The surface shows higher implied volatilities for out-of-the-money puts (left) and short-dated options.</w:t>
      </w:r>
    </w:p>
    <w:p>
      <w:pPr>
        <w:pStyle w:val="CaptionedFigure"/>
      </w:pPr>
      <w:r>
        <w:drawing>
          <wp:inline>
            <wp:extent cx="5334000" cy="4838648"/>
            <wp:effectExtent b="0" l="0" r="0" t="0"/>
            <wp:docPr descr="Figure 4: SABR Calibration — Calibrated SABR parameters (\alpha = 0.3213, \rho = -0.3188, \nu = 0.3590) closely match the true generating parameters. The chart overlays market data (noisy), true SABR curve, and calibrated fit with RMSE of 0.0016." title="" id="30" name="Picture"/>
            <a:graphic>
              <a:graphicData uri="http://schemas.openxmlformats.org/drawingml/2006/picture">
                <pic:pic>
                  <pic:nvPicPr>
                    <pic:cNvPr descr="screenshots/03b_sabr_calibr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SABR Calibration — Calibrated SABR parameters (</w:t>
      </w:r>
      <m:oMath>
        <m:r>
          <m:t>α</m:t>
        </m:r>
        <m:r>
          <m:rPr>
            <m:sty m:val="p"/>
          </m:rPr>
          <m:t>=</m:t>
        </m:r>
        <m:r>
          <m:t>0.3213</m:t>
        </m:r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0.3188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0.3590</m:t>
        </m:r>
      </m:oMath>
      <w:r>
        <w:t xml:space="preserve">) closely match the true generating parameters. The chart overlays market data (noisy), true SABR curve, and calibrated fit with RMSE of 0.0016.</w:t>
      </w:r>
    </w:p>
    <w:bookmarkEnd w:id="32"/>
    <w:bookmarkEnd w:id="33"/>
    <w:bookmarkStart w:id="39" w:name="module-3-strategy-backtester"/>
    <w:p>
      <w:pPr>
        <w:pStyle w:val="Heading2"/>
      </w:pPr>
      <w:r>
        <w:t xml:space="preserve">5. Module 3: Strategy Backtester</w:t>
      </w:r>
    </w:p>
    <w:bookmarkStart w:id="34" w:name="delta-hedging-simulation"/>
    <w:p>
      <w:pPr>
        <w:pStyle w:val="Heading3"/>
      </w:pPr>
      <w:r>
        <w:t xml:space="preserve">5.1 Delta Hedging Simulation</w:t>
      </w:r>
    </w:p>
    <w:p>
      <w:pPr>
        <w:pStyle w:val="FirstParagraph"/>
      </w:pPr>
      <w:r>
        <w:t xml:space="preserve">The backtester simulates a delta-hedging strategy for a short option position under Geometric Brownian Motion (GBM):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e>
              </m:rad>
              <m:r>
                <m:t> </m:t>
              </m:r>
              <m:r>
                <m:t>Z</m:t>
              </m:r>
            </m:e>
          </m:d>
        </m:oMath>
      </m:oMathPara>
    </w:p>
    <w:p>
      <w:pPr>
        <w:pStyle w:val="FirstParagraph"/>
      </w:pPr>
      <w:r>
        <w:t xml:space="preserve">At each rebalancing interval, the hedge portfolio is adjusted to match the current Black-Scholes delta. The simulation tracks daily P&amp;L components: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Hedge P&amp;L</w:t>
      </w:r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×</m:t>
        </m:r>
        <m:r>
          <m:t>d</m:t>
        </m:r>
        <m:r>
          <m:t>S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P&amp;L</w:t>
      </w:r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Interest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Cash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×</m:t>
        </m:r>
        <m:r>
          <m:t>d</m:t>
        </m:r>
        <m:r>
          <m:t>t</m:t>
        </m:r>
      </m:oMath>
    </w:p>
    <w:p>
      <w:pPr>
        <w:pStyle w:val="FirstParagraph"/>
      </w:pPr>
      <w:r>
        <w:t xml:space="preserve">Users can vary the hedge frequency (daily, every 2, 5, 10, or 20 days) to observe the impact of discrete hedging on P&amp;L variance.</w:t>
      </w:r>
    </w:p>
    <w:bookmarkEnd w:id="34"/>
    <w:bookmarkStart w:id="38" w:name="multi-leg-strategy-evaluation"/>
    <w:p>
      <w:pPr>
        <w:pStyle w:val="Heading3"/>
      </w:pPr>
      <w:r>
        <w:t xml:space="preserve">5.2 Multi-Leg Strategy Evaluation</w:t>
      </w:r>
    </w:p>
    <w:p>
      <w:pPr>
        <w:pStyle w:val="FirstParagraph"/>
      </w:pPr>
      <w:r>
        <w:t xml:space="preserve">Seven pre-built strategy templates are available:</w:t>
      </w:r>
    </w:p>
    <w:p>
      <w:pPr>
        <w:pStyle w:val="Compact"/>
        <w:numPr>
          <w:ilvl w:val="0"/>
          <w:numId w:val="1003"/>
        </w:numPr>
      </w:pPr>
      <w:r>
        <w:t xml:space="preserve">Long/Short Straddle</w:t>
      </w:r>
    </w:p>
    <w:p>
      <w:pPr>
        <w:pStyle w:val="Compact"/>
        <w:numPr>
          <w:ilvl w:val="0"/>
          <w:numId w:val="1003"/>
        </w:numPr>
      </w:pPr>
      <w:r>
        <w:t xml:space="preserve">Long Strangle</w:t>
      </w:r>
    </w:p>
    <w:p>
      <w:pPr>
        <w:pStyle w:val="Compact"/>
        <w:numPr>
          <w:ilvl w:val="0"/>
          <w:numId w:val="1003"/>
        </w:numPr>
      </w:pPr>
      <w:r>
        <w:t xml:space="preserve">Bull Call Spread / Bear Put Spread</w:t>
      </w:r>
    </w:p>
    <w:p>
      <w:pPr>
        <w:pStyle w:val="Compact"/>
        <w:numPr>
          <w:ilvl w:val="0"/>
          <w:numId w:val="1003"/>
        </w:numPr>
      </w:pPr>
      <w:r>
        <w:t xml:space="preserve">Long Butterfly</w:t>
      </w:r>
    </w:p>
    <w:p>
      <w:pPr>
        <w:pStyle w:val="Compact"/>
        <w:numPr>
          <w:ilvl w:val="0"/>
          <w:numId w:val="1003"/>
        </w:numPr>
      </w:pPr>
      <w:r>
        <w:t xml:space="preserve">Iron Condor</w:t>
      </w:r>
    </w:p>
    <w:p>
      <w:pPr>
        <w:pStyle w:val="FirstParagraph"/>
      </w:pPr>
      <w:r>
        <w:t xml:space="preserve">Each strategy is simulated under GBM with full tracking of portfolio value, delta, gamma, theta, and vega over time, along with the terminal payoff diagram.</w:t>
      </w:r>
    </w:p>
    <w:p>
      <w:pPr>
        <w:pStyle w:val="CaptionedFigure"/>
      </w:pPr>
      <w:r>
        <w:drawing>
          <wp:inline>
            <wp:extent cx="5334000" cy="4838648"/>
            <wp:effectExtent b="0" l="0" r="0" t="0"/>
            <wp:docPr descr="Figure 5: Strategy Backtester — Interface for configuring delta hedging parameters and multi-leg strategy simulations. Supports seven pre-built strategy templates with full P&amp;L tracking." title="" id="36" name="Picture"/>
            <a:graphic>
              <a:graphicData uri="http://schemas.openxmlformats.org/drawingml/2006/picture">
                <pic:pic>
                  <pic:nvPicPr>
                    <pic:cNvPr descr="screenshots/04_strategy_backtest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Strategy Backtester — Interface for configuring delta hedging parameters and multi-leg strategy simulations. Supports seven pre-built strategy templates with full P&amp;L tracking.</w:t>
      </w:r>
    </w:p>
    <w:bookmarkEnd w:id="38"/>
    <w:bookmarkEnd w:id="39"/>
    <w:bookmarkStart w:id="46" w:name="X6d3413cd4320589de1c4817bd59c27ffad7d105"/>
    <w:p>
      <w:pPr>
        <w:pStyle w:val="Heading2"/>
      </w:pPr>
      <w:r>
        <w:t xml:space="preserve">6. Module 4: Scenario Simulator &amp; Stress Testing</w:t>
      </w:r>
    </w:p>
    <w:bookmarkStart w:id="40" w:name="spot-vol-pl-heatmap"/>
    <w:p>
      <w:pPr>
        <w:pStyle w:val="Heading3"/>
      </w:pPr>
      <w:r>
        <w:t xml:space="preserve">6.1 Spot × Vol P&amp;L Heatmap</w:t>
      </w:r>
    </w:p>
    <w:p>
      <w:pPr>
        <w:pStyle w:val="FirstParagraph"/>
      </w:pPr>
      <w:r>
        <w:t xml:space="preserve">The core scenario analysis tool generates a two-dimensional grid of P&amp;L outcomes by simultaneously bumping the spot price and implied volatility: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P&amp;L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S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heatmap provides immediate visual insight into the portfolio’s directional and volatility exposure.</w:t>
      </w:r>
    </w:p>
    <w:bookmarkEnd w:id="40"/>
    <w:bookmarkStart w:id="41" w:name="stress-testing"/>
    <w:p>
      <w:pPr>
        <w:pStyle w:val="Heading3"/>
      </w:pPr>
      <w:r>
        <w:t xml:space="preserve">6.2 Stress Testing</w:t>
      </w:r>
    </w:p>
    <w:p>
      <w:pPr>
        <w:pStyle w:val="FirstParagraph"/>
      </w:pPr>
      <w:r>
        <w:t xml:space="preserve">Ten pre-configured stress scenarios cover a range of market conditions: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Spot</w:t>
            </w:r>
          </w:p>
        </w:tc>
        <w:tc>
          <w:tcPr/>
          <w:p>
            <w:pPr>
              <w:pStyle w:val="Compact"/>
            </w:pPr>
            <w:r>
              <w:t xml:space="preserve">Vol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-20%</w:t>
            </w:r>
          </w:p>
        </w:tc>
        <w:tc>
          <w:tcPr/>
          <w:p>
            <w:pPr>
              <w:pStyle w:val="Compact"/>
            </w:pPr>
            <w:r>
              <w:t xml:space="preserve">+15pp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Rally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t xml:space="preserve">-10pp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 Risk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  <w:tc>
          <w:tcPr/>
          <w:p>
            <w:pPr>
              <w:pStyle w:val="Compact"/>
            </w:pPr>
            <w:r>
              <w:t xml:space="preserve">+25pp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Week Decay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0pp</w:t>
            </w:r>
          </w:p>
        </w:tc>
        <w:tc>
          <w:tcPr/>
          <w:p>
            <w:pPr>
              <w:pStyle w:val="Compact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Month Decay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0pp</w:t>
            </w:r>
          </w:p>
        </w:tc>
        <w:tc>
          <w:tcPr/>
          <w:p>
            <w:pPr>
              <w:pStyle w:val="Compact"/>
            </w:pPr>
            <w:r>
              <w:t xml:space="preserve">30d</w:t>
            </w:r>
          </w:p>
        </w:tc>
      </w:tr>
    </w:tbl>
    <w:p>
      <w:pPr>
        <w:pStyle w:val="BodyText"/>
      </w:pPr>
      <w:r>
        <w:t xml:space="preserve">For each scenario, the system reports the new portfolio value, P&amp;L, and the resulting Greeks (delta, gamma, vega).</w:t>
      </w:r>
    </w:p>
    <w:bookmarkEnd w:id="41"/>
    <w:bookmarkStart w:id="45" w:name="spot-ladder-and-theta-decay"/>
    <w:p>
      <w:pPr>
        <w:pStyle w:val="Heading3"/>
      </w:pPr>
      <w:r>
        <w:t xml:space="preserve">6.3 Spot Ladder and Theta Decay</w:t>
      </w:r>
    </w:p>
    <w:p>
      <w:pPr>
        <w:pStyle w:val="FirstParagraph"/>
      </w:pPr>
      <w:r>
        <w:t xml:space="preserve">Additional analysis tools include: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Spot Ladder</w:t>
      </w:r>
      <w:r>
        <w:t xml:space="preserve">: P&amp;L and Greeks as a function of the underlying price across a configurable range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Theta Decay</w:t>
      </w:r>
      <w:r>
        <w:t xml:space="preserve">: Portfolio value and Greeks evolution over a forward-looking time horizon</w:t>
      </w:r>
    </w:p>
    <w:p>
      <w:pPr>
        <w:pStyle w:val="CaptionedFigure"/>
      </w:pPr>
      <w:r>
        <w:drawing>
          <wp:inline>
            <wp:extent cx="5334000" cy="4838648"/>
            <wp:effectExtent b="0" l="0" r="0" t="0"/>
            <wp:docPr descr="Figure 6: Scenario Simulator — Portfolio construction interface with Add/Clear functionality and a quick-load sample portfolio button. Supports interactive P&amp;L heatmaps, spot ladders, theta decay analysis, and configurable stress tests." title="" id="43" name="Picture"/>
            <a:graphic>
              <a:graphicData uri="http://schemas.openxmlformats.org/drawingml/2006/picture">
                <pic:pic>
                  <pic:nvPicPr>
                    <pic:cNvPr descr="screenshots/06_scenario_simulato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Scenario Simulator — Portfolio construction interface with Add/Clear functionality and a quick-load sample portfolio button. Supports interactive P&amp;L heatmaps, spot ladders, theta decay analysis, and configurable stress tests.</w:t>
      </w:r>
    </w:p>
    <w:bookmarkEnd w:id="45"/>
    <w:bookmarkEnd w:id="46"/>
    <w:bookmarkStart w:id="53" w:name="module-5-pl-attribution"/>
    <w:p>
      <w:pPr>
        <w:pStyle w:val="Heading2"/>
      </w:pPr>
      <w:r>
        <w:t xml:space="preserve">7. Module 5: P&amp;L Attribution</w:t>
      </w:r>
    </w:p>
    <w:bookmarkStart w:id="47" w:name="greeks-based-decomposition"/>
    <w:p>
      <w:pPr>
        <w:pStyle w:val="Heading3"/>
      </w:pPr>
      <w:r>
        <w:t xml:space="preserve">7.1 Greeks-Based Decomposition</w:t>
      </w:r>
    </w:p>
    <w:p>
      <w:pPr>
        <w:pStyle w:val="FirstParagraph"/>
      </w:pPr>
      <w:r>
        <w:t xml:space="preserve">P&amp;L attribution decomposes the daily change in option value using a second-order Taylor expansion: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V</m:t>
          </m:r>
          <m:r>
            <m:rPr>
              <m:sty m:val="p"/>
            </m:rPr>
            <m:t>≈</m:t>
          </m:r>
          <m:r>
            <m:rPr>
              <m:sty m:val="p"/>
            </m:rPr>
            <m:t>Δ</m:t>
          </m:r>
          <m:r>
            <m:rPr>
              <m:sty m:val="p"/>
            </m:rPr>
            <m:t>⋅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Γ</m:t>
          </m:r>
          <m:r>
            <m:rPr>
              <m:sty m:val="p"/>
            </m:rPr>
            <m:t>⋅</m:t>
          </m:r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script"/>
              <m:sty m:val="p"/>
            </m:rPr>
            <m:t>V</m:t>
          </m:r>
          <m:r>
            <m:rPr>
              <m:sty m:val="p"/>
            </m:rPr>
            <m:t>⋅</m:t>
          </m:r>
          <m:r>
            <m:t>d</m:t>
          </m:r>
          <m:r>
            <m:t>σ</m:t>
          </m:r>
          <m:r>
            <m:rPr>
              <m:sty m:val="p"/>
            </m:rPr>
            <m:t>+</m:t>
          </m:r>
          <m:r>
            <m:rPr>
              <m:sty m:val="p"/>
            </m:rPr>
            <m:t>Θ</m:t>
          </m:r>
          <m:r>
            <m:rPr>
              <m:sty m:val="p"/>
            </m:rPr>
            <m:t>⋅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Unexplained</m:t>
          </m:r>
        </m:oMath>
      </m:oMathPara>
    </w:p>
    <w:p>
      <w:pPr>
        <w:pStyle w:val="FirstParagraph"/>
      </w:pPr>
      <w:r>
        <w:t xml:space="preserve">Each component is computed using the previous day’s Greeks and the observed changes in spot price and implied volatility. The</w:t>
      </w:r>
      <w:r>
        <w:t xml:space="preserve"> </w:t>
      </w:r>
      <w:r>
        <w:t xml:space="preserve">“unexplained”</w:t>
      </w:r>
      <w:r>
        <w:t xml:space="preserve"> </w:t>
      </w:r>
      <w:r>
        <w:t xml:space="preserve">residual captures higher-order effects, cross-gammas, and model error.</w:t>
      </w:r>
    </w:p>
    <w:bookmarkEnd w:id="47"/>
    <w:bookmarkStart w:id="48" w:name="simulation-framework"/>
    <w:p>
      <w:pPr>
        <w:pStyle w:val="Heading3"/>
      </w:pPr>
      <w:r>
        <w:t xml:space="preserve">7.2 Simulation Framework</w:t>
      </w:r>
    </w:p>
    <w:p>
      <w:pPr>
        <w:pStyle w:val="FirstParagraph"/>
      </w:pPr>
      <w:r>
        <w:t xml:space="preserve">For demonstration purposes, the system generates synthetic spot and implied volatility paths: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⋅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d</m:t>
              </m:r>
              <m:r>
                <m:t>r</m:t>
              </m:r>
              <m:r>
                <m:t>i</m:t>
              </m:r>
              <m:r>
                <m:t>f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 </m:t>
          </m:r>
          <m:r>
            <m:t>0.05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 standard normal variates. Users control the daily spot volatility (</w:t>
      </w:r>
      <m:oMath>
        <m:sSub>
          <m:e>
            <m:r>
              <m:t>σ</m:t>
            </m:r>
          </m:e>
          <m:sub>
            <m:r>
              <m:t>S</m:t>
            </m:r>
          </m:sub>
        </m:sSub>
      </m:oMath>
      <w:r>
        <w:t xml:space="preserve">) and the implied volatility drift (</w:t>
      </w:r>
      <m:oMath>
        <m:sSub>
          <m:e>
            <m:r>
              <m:t>σ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).</w:t>
      </w:r>
    </w:p>
    <w:bookmarkEnd w:id="48"/>
    <w:bookmarkStart w:id="52" w:name="output"/>
    <w:p>
      <w:pPr>
        <w:pStyle w:val="Heading3"/>
      </w:pPr>
      <w:r>
        <w:t xml:space="preserve">7.3 Output</w:t>
      </w:r>
    </w:p>
    <w:p>
      <w:pPr>
        <w:pStyle w:val="FirstParagraph"/>
      </w:pPr>
      <w:r>
        <w:t xml:space="preserve">The module produces: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Cumulative P&amp;L stacked area chart</w:t>
      </w:r>
      <w:r>
        <w:t xml:space="preserve"> </w:t>
      </w:r>
      <w:r>
        <w:t xml:space="preserve">— Delta, Gamma, Vega, Theta, and Unexplained components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Daily P&amp;L bar chart</w:t>
      </w:r>
      <w:r>
        <w:t xml:space="preserve"> </w:t>
      </w:r>
      <w:r>
        <w:t xml:space="preserve">— Component-level breakdown per day with actual P&amp;L overlay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Greeks evolution</w:t>
      </w:r>
      <w:r>
        <w:t xml:space="preserve"> </w:t>
      </w:r>
      <w:r>
        <w:t xml:space="preserve">— Time series of Delta, Gamma, Vega, and Theta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Summary statistics</w:t>
      </w:r>
      <w:r>
        <w:t xml:space="preserve"> </w:t>
      </w:r>
      <w:r>
        <w:t xml:space="preserve">— Total, mean, standard deviation, min, max, and annualized Sharpe ratio for each component</w:t>
      </w:r>
    </w:p>
    <w:p>
      <w:pPr>
        <w:pStyle w:val="CaptionedFigure"/>
      </w:pPr>
      <w:r>
        <w:drawing>
          <wp:inline>
            <wp:extent cx="5334000" cy="4838648"/>
            <wp:effectExtent b="0" l="0" r="0" t="0"/>
            <wp:docPr descr="Figure 7: P&amp;L Attribution — Position parameter configuration with cumulative P&amp;L decomposition showing Delta, Gamma, Vega, Theta, and Unexplained contributions." title="" id="50" name="Picture"/>
            <a:graphic>
              <a:graphicData uri="http://schemas.openxmlformats.org/drawingml/2006/picture">
                <pic:pic>
                  <pic:nvPicPr>
                    <pic:cNvPr descr="screenshots/05_pnl_attribut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P&amp;L Attribution — Position parameter configuration with cumulative P&amp;L decomposition showing Delta, Gamma, Vega, Theta, and Unexplained contributions.</w:t>
      </w:r>
    </w:p>
    <w:bookmarkEnd w:id="52"/>
    <w:bookmarkEnd w:id="53"/>
    <w:bookmarkStart w:id="61" w:name="module-6-risk-dashboard"/>
    <w:p>
      <w:pPr>
        <w:pStyle w:val="Heading2"/>
      </w:pPr>
      <w:r>
        <w:t xml:space="preserve">8. Module 6: Risk Dashboard</w:t>
      </w:r>
    </w:p>
    <w:bookmarkStart w:id="54" w:name="portfolio-overview"/>
    <w:p>
      <w:pPr>
        <w:pStyle w:val="Heading3"/>
      </w:pPr>
      <w:r>
        <w:t xml:space="preserve">8.1 Portfolio Overview</w:t>
      </w:r>
    </w:p>
    <w:p>
      <w:pPr>
        <w:pStyle w:val="FirstParagraph"/>
      </w:pPr>
      <w:r>
        <w:t xml:space="preserve">The risk dashboard provides a real-time view of a multi-position options book. A pre-loaded sample book contains six positions spanning calls and puts across three expiry buckets (1M, 3M, 6M) with varying moneyness. The top-level metrics display:</w:t>
      </w:r>
    </w:p>
    <w:p>
      <w:pPr>
        <w:pStyle w:val="Compact"/>
        <w:numPr>
          <w:ilvl w:val="0"/>
          <w:numId w:val="1006"/>
        </w:numPr>
      </w:pPr>
      <w:r>
        <w:t xml:space="preserve">Total portfolio value</w:t>
      </w:r>
    </w:p>
    <w:p>
      <w:pPr>
        <w:pStyle w:val="Compact"/>
        <w:numPr>
          <w:ilvl w:val="0"/>
          <w:numId w:val="1006"/>
        </w:numPr>
      </w:pPr>
      <w:r>
        <w:t xml:space="preserve">Net Delta, Gamma, Vega, Theta, Vanna, and Volga</w:t>
      </w:r>
    </w:p>
    <w:bookmarkEnd w:id="54"/>
    <w:bookmarkStart w:id="55" w:name="value-at-risk"/>
    <w:p>
      <w:pPr>
        <w:pStyle w:val="Heading3"/>
      </w:pPr>
      <w:r>
        <w:t xml:space="preserve">8.2 Value at Risk</w:t>
      </w:r>
    </w:p>
    <w:p>
      <w:pPr>
        <w:pStyle w:val="FirstParagraph"/>
      </w:pPr>
      <w:r>
        <w:t xml:space="preserve">Monte Carlo VaR is computed by simulating spot price returns over the specified horizon: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e>
              </m:rad>
              <m:r>
                <m:rPr>
                  <m:sty m:val="p"/>
                </m:rPr>
                <m:t>⋅</m:t>
              </m:r>
              <m:r>
                <m:t>Z</m:t>
              </m:r>
            </m:e>
          </m:d>
        </m:oMath>
      </m:oMathPara>
    </w:p>
    <w:p>
      <w:pPr>
        <w:pStyle w:val="FirstParagraph"/>
      </w:pPr>
      <w:r>
        <w:t xml:space="preserve">For each simulated terminal spot, the portfolio is repriced and the P&amp;L distribution is constructed. VaR and CVaR (Expected Shortfall) are extracted at the user-specified confidence level (90%–99%).</w:t>
      </w:r>
    </w:p>
    <w:p>
      <w:pPr>
        <w:pStyle w:val="BodyText"/>
      </w:pPr>
      <w:r>
        <w:t xml:space="preserve">The system also reports the full P&amp;L percentile table (1st through 99th percentile).</w:t>
      </w:r>
    </w:p>
    <w:bookmarkEnd w:id="55"/>
    <w:bookmarkStart w:id="56" w:name="greeks-exposure-analysis"/>
    <w:p>
      <w:pPr>
        <w:pStyle w:val="Heading3"/>
      </w:pPr>
      <w:r>
        <w:t xml:space="preserve">8.3 Greeks Exposure Analysis</w:t>
      </w:r>
    </w:p>
    <w:p>
      <w:pPr>
        <w:pStyle w:val="FirstParagraph"/>
      </w:pPr>
      <w:r>
        <w:t xml:space="preserve">Portfolio-level Greeks are broken down by: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Expiry bucket</w:t>
      </w:r>
      <w:r>
        <w:t xml:space="preserve"> </w:t>
      </w:r>
      <w:r>
        <w:t xml:space="preserve">— Delta, Gamma, Vega, and Theta by time-to-maturity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Strike bucket</w:t>
      </w:r>
      <w:r>
        <w:t xml:space="preserve"> </w:t>
      </w:r>
      <w:r>
        <w:t xml:space="preserve">— Greeks grouped by option strike price</w:t>
      </w:r>
    </w:p>
    <w:bookmarkEnd w:id="56"/>
    <w:bookmarkStart w:id="60" w:name="risk-alerts"/>
    <w:p>
      <w:pPr>
        <w:pStyle w:val="Heading3"/>
      </w:pPr>
      <w:r>
        <w:t xml:space="preserve">8.4 Risk Alerts</w:t>
      </w:r>
    </w:p>
    <w:p>
      <w:pPr>
        <w:pStyle w:val="FirstParagraph"/>
      </w:pPr>
      <w:r>
        <w:t xml:space="preserve">Configurable risk limits are applied to:</w:t>
      </w:r>
    </w:p>
    <w:p>
      <w:pPr>
        <w:pStyle w:val="Compact"/>
        <w:numPr>
          <w:ilvl w:val="0"/>
          <w:numId w:val="1008"/>
        </w:numPr>
      </w:pPr>
      <w:r>
        <w:t xml:space="preserve">Net Delta, Gamma, Vega, and Theta (absolute value thresholds)</w:t>
      </w:r>
    </w:p>
    <w:p>
      <w:pPr>
        <w:pStyle w:val="Compact"/>
        <w:numPr>
          <w:ilvl w:val="0"/>
          <w:numId w:val="1008"/>
        </w:numPr>
      </w:pPr>
      <w:r>
        <w:t xml:space="preserve">VaR (maximum loss threshold)</w:t>
      </w:r>
    </w:p>
    <w:p>
      <w:pPr>
        <w:pStyle w:val="FirstParagraph"/>
      </w:pPr>
      <w:r>
        <w:t xml:space="preserve">Breaches are highlighted with red (error) or yellow (warning) indicators and summarized in a risk status table.</w:t>
      </w:r>
    </w:p>
    <w:p>
      <w:pPr>
        <w:pStyle w:val="CaptionedFigure"/>
      </w:pPr>
      <w:r>
        <w:drawing>
          <wp:inline>
            <wp:extent cx="5334000" cy="4838648"/>
            <wp:effectExtent b="0" l="0" r="0" t="0"/>
            <wp:docPr descr="Figure 8: Risk Dashboard — Portfolio overview with net Greeks metrics, position book table (6 positions across 3 expiry buckets), VaR analysis, Greeks exposure breakdown, and configurable risk alerts with breach notifications." title="" id="58" name="Picture"/>
            <a:graphic>
              <a:graphicData uri="http://schemas.openxmlformats.org/drawingml/2006/picture">
                <pic:pic>
                  <pic:nvPicPr>
                    <pic:cNvPr descr="screenshots/07_risk_dashboard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Risk Dashboard — Portfolio overview with net Greeks metrics, position book table (6 positions across 3 expiry buckets), VaR analysis, Greeks exposure breakdown, and configurable risk alerts with breach notifications.</w:t>
      </w:r>
    </w:p>
    <w:bookmarkEnd w:id="60"/>
    <w:bookmarkEnd w:id="61"/>
    <w:bookmarkStart w:id="62" w:name="technology-stack"/>
    <w:p>
      <w:pPr>
        <w:pStyle w:val="Heading2"/>
      </w:pPr>
      <w:r>
        <w:t xml:space="preserve">9.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3.11</w:t>
            </w:r>
          </w:p>
        </w:tc>
        <w:tc>
          <w:tcPr/>
          <w:p>
            <w:pPr>
              <w:pStyle w:val="Compact"/>
            </w:pPr>
            <w:r>
              <w:t xml:space="preserve">Industry standard for quant prototyping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Rapid dashboard development, native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NumPy, SciPy</w:t>
            </w:r>
          </w:p>
        </w:tc>
        <w:tc>
          <w:tcPr/>
          <w:p>
            <w:pPr>
              <w:pStyle w:val="Compact"/>
            </w:pPr>
            <w:r>
              <w:t xml:space="preserve">Efficient numerical computation, optimization,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Time-series and tabular data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Plotly</w:t>
            </w:r>
          </w:p>
        </w:tc>
        <w:tc>
          <w:tcPr/>
          <w:p>
            <w:pPr>
              <w:pStyle w:val="Compact"/>
            </w:pPr>
            <w:r>
              <w:t xml:space="preserve">Interactive 3D surfaces, charts, heatmaps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Reproducible, portable deployment</w:t>
            </w:r>
          </w:p>
        </w:tc>
      </w:tr>
    </w:tbl>
    <w:p>
      <w:pPr>
        <w:pStyle w:val="BodyText"/>
      </w:pPr>
      <w:r>
        <w:t xml:space="preserve">All dependencies are managed via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with version pinning. The total image size is approximately 500 MB, and the application starts within 10 seconds of container launch.</w:t>
      </w:r>
    </w:p>
    <w:bookmarkEnd w:id="62"/>
    <w:bookmarkStart w:id="65" w:name="limitations-and-future-work"/>
    <w:p>
      <w:pPr>
        <w:pStyle w:val="Heading2"/>
      </w:pPr>
      <w:r>
        <w:t xml:space="preserve">10. Limitations and Future Work</w:t>
      </w:r>
    </w:p>
    <w:bookmarkStart w:id="63" w:name="current-limitations"/>
    <w:p>
      <w:pPr>
        <w:pStyle w:val="Heading3"/>
      </w:pPr>
      <w:r>
        <w:t xml:space="preserve">10.1 Current Limitations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Synthetic data only</w:t>
      </w:r>
      <w:r>
        <w:t xml:space="preserve">: The current implementation uses generated data for demonstration. Integration with live market data feeds (e.g., via WebSocket APIs from exchanges or Bloomberg B-PIPE) would be required for production use.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Single-threaded computation</w:t>
      </w:r>
      <w:r>
        <w:t xml:space="preserve">: Heston model pricing and Monte Carlo VaR are computed serially. Parallelization via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concurrent.futures</w:t>
      </w:r>
      <w:r>
        <w:t xml:space="preserve"> </w:t>
      </w:r>
      <w:r>
        <w:t xml:space="preserve">would improve performance for large portfolios.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persistence layer</w:t>
      </w:r>
      <w:r>
        <w:t xml:space="preserve">: Portfolio positions and calibration parameters are stored in Streamlit session state and are lost on page refresh. A database backend (PostgreSQL or Redis) would provide persistence.</w:t>
      </w:r>
    </w:p>
    <w:bookmarkEnd w:id="63"/>
    <w:bookmarkStart w:id="64" w:name="planned-extensions"/>
    <w:p>
      <w:pPr>
        <w:pStyle w:val="Heading3"/>
      </w:pPr>
      <w:r>
        <w:t xml:space="preserve">10.2 Planned Extensions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Local volatility model</w:t>
      </w:r>
      <w:r>
        <w:t xml:space="preserve"> </w:t>
      </w:r>
      <w:r>
        <w:t xml:space="preserve">(Dupire, 1994) and</w:t>
      </w:r>
      <w:r>
        <w:t xml:space="preserve"> </w:t>
      </w:r>
      <w:r>
        <w:rPr>
          <w:b/>
          <w:bCs/>
        </w:rPr>
        <w:t xml:space="preserve">SLV (Stochastic Local Volatility)</w:t>
      </w:r>
      <w:r>
        <w:t xml:space="preserve"> </w:t>
      </w:r>
      <w:r>
        <w:t xml:space="preserve">hybrid models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C++ pricing kernel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for latency-sensitive computations, reflecting the production environment where Python prototypes are handed off to C++ developers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Real-time data integration</w:t>
      </w:r>
      <w:r>
        <w:t xml:space="preserve"> </w:t>
      </w:r>
      <w:r>
        <w:t xml:space="preserve">with WebSocket streaming from cryptocurrency or equity options exchanges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Historical backtesting on real data</w:t>
      </w:r>
      <w:r>
        <w:t xml:space="preserve"> </w:t>
      </w:r>
      <w:r>
        <w:t xml:space="preserve">using options chain snapshots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Greeks hedging optimizer</w:t>
      </w:r>
      <w:r>
        <w:t xml:space="preserve"> </w:t>
      </w:r>
      <w:r>
        <w:t xml:space="preserve">for automated portfolio rebalancing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Multi-asset correlation</w:t>
      </w:r>
      <w:r>
        <w:t xml:space="preserve"> </w:t>
      </w:r>
      <w:r>
        <w:t xml:space="preserve">and cross-gamma analysis for portfolio-level risk</w:t>
      </w:r>
    </w:p>
    <w:bookmarkEnd w:id="64"/>
    <w:bookmarkEnd w:id="65"/>
    <w:bookmarkStart w:id="66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The Quantitative Options Analysis Toolkit demonstrates that a comprehensive, interactive front-office quant platform can be built entirely in Python and deployed as a single Docker container. By covering the full spectrum from model calibration through risk monitoring, QOAT provides a cohesive environment for the daily workflow of a quantitative analyst supporting an options market-making desk. The modular architecture ensures that individual components can be independently tested, extended, and ultimately migrated to production-grade C++ implementations.</w:t>
      </w:r>
    </w:p>
    <w:bookmarkEnd w:id="66"/>
    <w:bookmarkStart w:id="6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1"/>
        </w:numPr>
      </w:pPr>
      <w:r>
        <w:t xml:space="preserve">Black, F., &amp; Scholes, M. (1973). The pricing of options and corporate liabilities.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, 81(3), 637–654.</w:t>
      </w:r>
    </w:p>
    <w:p>
      <w:pPr>
        <w:pStyle w:val="Compact"/>
        <w:numPr>
          <w:ilvl w:val="0"/>
          <w:numId w:val="1011"/>
        </w:numPr>
      </w:pPr>
      <w:r>
        <w:t xml:space="preserve">Dupire, B. (1994). Pricing with a smile.</w:t>
      </w:r>
      <w:r>
        <w:t xml:space="preserve"> </w:t>
      </w:r>
      <w:r>
        <w:rPr>
          <w:i/>
          <w:iCs/>
        </w:rPr>
        <w:t xml:space="preserve">Risk</w:t>
      </w:r>
      <w:r>
        <w:t xml:space="preserve">, 7(1), 18–20.</w:t>
      </w:r>
    </w:p>
    <w:p>
      <w:pPr>
        <w:pStyle w:val="Compact"/>
        <w:numPr>
          <w:ilvl w:val="0"/>
          <w:numId w:val="1011"/>
        </w:numPr>
      </w:pPr>
      <w:r>
        <w:t xml:space="preserve">Hagan, P. S., Kumar, D., Lesniewski, A. S., &amp; Woodward, D. E. (2002). Managing smile risk.</w:t>
      </w:r>
      <w:r>
        <w:t xml:space="preserve"> </w:t>
      </w:r>
      <w:r>
        <w:rPr>
          <w:i/>
          <w:iCs/>
        </w:rPr>
        <w:t xml:space="preserve">Wilmott Magazine</w:t>
      </w:r>
      <w:r>
        <w:t xml:space="preserve">, 1, 84–108.</w:t>
      </w:r>
    </w:p>
    <w:p>
      <w:pPr>
        <w:pStyle w:val="Compact"/>
        <w:numPr>
          <w:ilvl w:val="0"/>
          <w:numId w:val="1011"/>
        </w:numPr>
      </w:pPr>
      <w:r>
        <w:t xml:space="preserve">Heston, S. L. (1993). A closed-form solution for options with stochastic volatility with applications to bond and currency options.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, 6(2), 327–343.</w:t>
      </w:r>
    </w:p>
    <w:p>
      <w:pPr>
        <w:pStyle w:val="Compact"/>
        <w:numPr>
          <w:ilvl w:val="0"/>
          <w:numId w:val="1011"/>
        </w:numPr>
      </w:pPr>
      <w:r>
        <w:t xml:space="preserve">Ho, T., &amp; Stoll, H. R. (1981). Optimal dealer pricing under transactions and return uncertainty.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, 9(1), 47–73.</w:t>
      </w:r>
    </w:p>
    <w:p>
      <w:pPr>
        <w:pStyle w:val="Compact"/>
        <w:numPr>
          <w:ilvl w:val="0"/>
          <w:numId w:val="1011"/>
        </w:numPr>
      </w:pPr>
      <w:r>
        <w:t xml:space="preserve">Hull, J. C. (2022).</w:t>
      </w:r>
      <w:r>
        <w:t xml:space="preserve"> </w:t>
      </w:r>
      <w:r>
        <w:rPr>
          <w:i/>
          <w:iCs/>
        </w:rPr>
        <w:t xml:space="preserve">Options, Futures, and Other Derivatives</w:t>
      </w:r>
      <w:r>
        <w:t xml:space="preserve"> </w:t>
      </w:r>
      <w:r>
        <w:t xml:space="preserve">(11th ed.). Pearson.</w:t>
      </w:r>
    </w:p>
    <w:p>
      <w:pPr>
        <w:pStyle w:val="Compact"/>
        <w:numPr>
          <w:ilvl w:val="0"/>
          <w:numId w:val="1011"/>
        </w:numPr>
      </w:pPr>
      <w:r>
        <w:t xml:space="preserve">Merton, R. C. (1973). Theory of rational option pricing.</w:t>
      </w:r>
      <w:r>
        <w:t xml:space="preserve"> </w:t>
      </w:r>
      <w:r>
        <w:rPr>
          <w:i/>
          <w:iCs/>
        </w:rPr>
        <w:t xml:space="preserve">Bell Journal of Economics and Management Science</w:t>
      </w:r>
      <w:r>
        <w:t xml:space="preserve">, 4(1), 141–183.</w:t>
      </w:r>
    </w:p>
    <w:bookmarkEnd w:id="67"/>
    <w:bookmarkStart w:id="72" w:name="appendix-a-running-the-system"/>
    <w:p>
      <w:pPr>
        <w:pStyle w:val="Heading2"/>
      </w:pPr>
      <w:r>
        <w:t xml:space="preserve">Appendix A: Running the System</w:t>
      </w:r>
    </w:p>
    <w:bookmarkStart w:id="68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12"/>
        </w:numPr>
      </w:pPr>
      <w:r>
        <w:t xml:space="preserve">Docker Desktop installed and running</w:t>
      </w:r>
    </w:p>
    <w:bookmarkEnd w:id="68"/>
    <w:bookmarkStart w:id="69" w:name="quick-start"/>
    <w:p>
      <w:pPr>
        <w:pStyle w:val="Heading3"/>
      </w:pPr>
      <w:r>
        <w:t xml:space="preserve">Quick Start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quant-tool/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The application will be available at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within approximately 10 seconds.</w:t>
      </w:r>
    </w:p>
    <w:bookmarkEnd w:id="69"/>
    <w:bookmarkStart w:id="70" w:name="stopping-the-system"/>
    <w:p>
      <w:pPr>
        <w:pStyle w:val="Heading3"/>
      </w:pPr>
      <w:r>
        <w:t xml:space="preserve">Stopping the System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bookmarkEnd w:id="70"/>
    <w:bookmarkStart w:id="71" w:name="development-mode"/>
    <w:p>
      <w:pPr>
        <w:pStyle w:val="Heading3"/>
      </w:pPr>
      <w:r>
        <w:t xml:space="preserve">Development Mode</w:t>
      </w:r>
    </w:p>
    <w:p>
      <w:pPr>
        <w:pStyle w:val="FirstParagraph"/>
      </w:pPr>
      <w:r>
        <w:t xml:space="preserve">The volume mount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enables live code reloading. Edit any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and the Streamlit application will automatically refresh.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49" Target="media/rId49.png" /><Relationship Type="http://schemas.openxmlformats.org/officeDocument/2006/relationships/image" Id="rId42" Target="media/rId4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2026-03-12T15:23:46Z</dcterms:created>
  <dcterms:modified xsi:type="dcterms:W3CDTF">2026-03-12T15:23:46Z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