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83253" w14:textId="77777777" w:rsidR="002407AF" w:rsidRDefault="002407A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HIPAA Compliance — FCC Transport Board</w:t>
      </w:r>
    </w:p>
    <w:p w14:paraId="580F64DB" w14:textId="77777777" w:rsidR="002407AF" w:rsidRDefault="002407AF">
      <w:pPr>
        <w:pStyle w:val="subtitle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Infrastructure compliance requirements &amp; cost estimate</w:t>
      </w:r>
    </w:p>
    <w:p w14:paraId="619D0311" w14:textId="77777777" w:rsidR="002407AF" w:rsidRDefault="002407AF">
      <w:pPr>
        <w:pStyle w:val="meta"/>
        <w:spacing w:before="100" w:beforeAutospacing="1"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Prepared: July 10, 2026  |  Application: FCC Transport Board (hospital patient-transport tracker)</w:t>
      </w:r>
    </w:p>
    <w:p w14:paraId="5F8B9763" w14:textId="77777777" w:rsidR="002407AF" w:rsidRDefault="002407AF">
      <w:pPr>
        <w:pStyle w:val="disclaimer"/>
        <w:spacing w:before="100" w:beforeAutospacing="1" w:after="100" w:afterAutospacing="1"/>
        <w:rPr>
          <w:rFonts w:ascii="Calibri" w:hAnsi="Calibri" w:cs="Calibri"/>
        </w:rPr>
      </w:pPr>
      <w:r>
        <w:rPr>
          <w:rStyle w:val="Strong"/>
          <w:rFonts w:ascii="Calibri" w:hAnsi="Calibri" w:cs="Calibri"/>
        </w:rPr>
        <w:t>Disclaimer:</w:t>
      </w:r>
      <w:r>
        <w:rPr>
          <w:rFonts w:ascii="Calibri" w:hAnsi="Calibri" w:cs="Calibri"/>
        </w:rPr>
        <w:t xml:space="preserve"> This document is a technical/operational summary to support planning. It is </w:t>
      </w:r>
      <w:r>
        <w:rPr>
          <w:rStyle w:val="Strong"/>
          <w:rFonts w:ascii="Calibri" w:hAnsi="Calibri" w:cs="Calibri"/>
        </w:rPr>
        <w:t>not legal advice</w:t>
      </w:r>
      <w:r>
        <w:rPr>
          <w:rFonts w:ascii="Calibri" w:hAnsi="Calibri" w:cs="Calibri"/>
        </w:rPr>
        <w:t xml:space="preserve">. Vendor pricing and terms change — </w:t>
      </w:r>
      <w:r>
        <w:rPr>
          <w:rFonts w:ascii="Calibri" w:hAnsi="Calibri" w:cs="Calibri"/>
        </w:rPr>
        <w:t>verify current figures directly with each vendor. The final compliance determination and vendor approvals should be made by Northside's HIPAA/privacy compliance and IT-security teams.</w:t>
      </w:r>
    </w:p>
    <w:p w14:paraId="093BA69B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Purpose &amp; scope</w:t>
      </w:r>
    </w:p>
    <w:p w14:paraId="50734287" w14:textId="77777777" w:rsidR="002407AF" w:rsidRDefault="002407A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FCC Transport Board tracks patient transports on the mother-baby unit. Although the app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does not store patient names</w:t>
      </w:r>
      <w:r>
        <w:rPr>
          <w:rFonts w:ascii="Calibri" w:hAnsi="Calibri" w:cs="Calibri"/>
          <w:color w:val="1A1A1A"/>
          <w:sz w:val="22"/>
          <w:szCs w:val="22"/>
        </w:rPr>
        <w:t xml:space="preserve">, it records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room number + transport event + timestamp</w:t>
      </w:r>
      <w:r>
        <w:rPr>
          <w:rFonts w:ascii="Calibri" w:hAnsi="Calibri" w:cs="Calibri"/>
          <w:color w:val="1A1A1A"/>
          <w:sz w:val="22"/>
          <w:szCs w:val="22"/>
        </w:rPr>
        <w:t xml:space="preserve"> (and optionally free-text notes). Under HIPAA, this combination is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Protected Health Information (PHI)</w:t>
      </w:r>
      <w:r>
        <w:rPr>
          <w:rFonts w:ascii="Calibri" w:hAnsi="Calibri" w:cs="Calibri"/>
          <w:color w:val="1A1A1A"/>
          <w:sz w:val="22"/>
          <w:szCs w:val="22"/>
        </w:rPr>
        <w:t xml:space="preserve"> — </w:t>
      </w:r>
      <w:r>
        <w:rPr>
          <w:rFonts w:ascii="Calibri" w:hAnsi="Calibri" w:cs="Calibri"/>
          <w:color w:val="1A1A1A"/>
          <w:sz w:val="22"/>
          <w:szCs w:val="22"/>
        </w:rPr>
        <w:t xml:space="preserve">it identifies a specific individual's care event. Therefore, any third-party service that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creates, receives, stores, or transmits</w:t>
      </w:r>
      <w:r>
        <w:rPr>
          <w:rFonts w:ascii="Calibri" w:hAnsi="Calibri" w:cs="Calibri"/>
          <w:color w:val="1A1A1A"/>
          <w:sz w:val="22"/>
          <w:szCs w:val="22"/>
        </w:rPr>
        <w:t xml:space="preserve"> this data on our behalf requires a signed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Business Associate Agreement (BAA)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0CC140D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Data classification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2515"/>
        <w:gridCol w:w="4117"/>
      </w:tblGrid>
      <w:tr w:rsidR="00000000" w14:paraId="05C9D990" w14:textId="77777777"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602A1CD9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Data element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4AA1A0D9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Classification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35A493E0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In the app?</w:t>
            </w:r>
          </w:p>
        </w:tc>
      </w:tr>
      <w:tr w:rsidR="00000000" w14:paraId="219F80C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BAC0CFB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Room number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27ABE59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PHI (location identifier)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9E5028C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</w:tr>
      <w:tr w:rsidR="00000000" w14:paraId="618F473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1BA9C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Transport time / event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34C470C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PHI (care event)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4E93F8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</w:tr>
      <w:tr w:rsidR="00000000" w14:paraId="12EEE4D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AB022F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Origin floor / destination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B7FB61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PHI (location)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D7880B7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</w:tr>
      <w:tr w:rsidR="00000000" w14:paraId="5AA3FCF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1CCF4F9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Free-text notes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DEE67F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Potential PHI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3D81A9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 — with guardrails (see §8); can be disabled by an admin</w:t>
            </w:r>
          </w:p>
        </w:tc>
      </w:tr>
      <w:tr w:rsidR="00000000" w14:paraId="10A9E56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02CA85C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Patient name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43AB56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PHI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B10DAE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No — deliberately excluded</w:t>
            </w:r>
          </w:p>
        </w:tc>
      </w:tr>
      <w:tr w:rsidR="00000000" w14:paraId="5278F1F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0D13C1C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Staff name / email / extension / role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5FBECC4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Employee data (not patient PHI)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CB6F8F0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</w:tr>
    </w:tbl>
    <w:p w14:paraId="04E693D4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Vendor BAA matrix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251"/>
        <w:gridCol w:w="1768"/>
        <w:gridCol w:w="1425"/>
        <w:gridCol w:w="2505"/>
      </w:tblGrid>
      <w:tr w:rsidR="00000000" w14:paraId="7490B5B2" w14:textId="77777777"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1CC1E75C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Vendor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55D588DD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7BF07B5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Touches PHI?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53B7EE5A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BAA required?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523FCC6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Status / notes</w:t>
            </w:r>
          </w:p>
        </w:tc>
      </w:tr>
      <w:tr w:rsidR="00000000" w14:paraId="7298095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E9775A8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Supabase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389A1F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Database (PHI at rest)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169AC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3BAFCA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4D38B68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Requires Team plan + HIPAA add-on</w:t>
            </w:r>
          </w:p>
        </w:tc>
      </w:tr>
      <w:tr w:rsidR="00000000" w14:paraId="25B661F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DAC4D44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Render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61CF5C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 hosting (PHI in transit/processing)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0CD4F8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52D82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03A4003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Requires Scale/Enterprise plan</w:t>
            </w:r>
          </w:p>
        </w:tc>
      </w:tr>
      <w:tr w:rsidR="00000000" w14:paraId="71644D0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0D81A55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Twilio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D7716F4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SMS (optional)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CB873F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Currently no (PHI stripped; likely disabled)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B44D49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Only if enabled with PHI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A9BADB8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SMS messages contain no patient data</w:t>
            </w:r>
          </w:p>
        </w:tc>
      </w:tr>
      <w:tr w:rsidR="00000000" w14:paraId="7D18957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FEBCF93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Google / Gmail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486FF9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Email (staff password resets)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0703E4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patient PHI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A2D0DBC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(for current use)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D7498D8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Consumer Gmail has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no BAA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; do not route PHI through it</w:t>
            </w:r>
          </w:p>
        </w:tc>
      </w:tr>
      <w:tr w:rsidR="00000000" w14:paraId="52BF76C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2B184D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GitHub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750179E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Source code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6A6D379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90BC94E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36BB6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PHI is committed (</w:t>
            </w:r>
            <w:r>
              <w:rPr>
                <w:rStyle w:val="HTMLCode"/>
                <w:color w:val="1A1A1A"/>
              </w:rPr>
              <w:t>.env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is gitignored)</w:t>
            </w:r>
          </w:p>
        </w:tc>
      </w:tr>
      <w:tr w:rsidR="00000000" w14:paraId="5D4E17E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63D1B9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Domain / DNS registrar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157710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Routing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296F958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4E897D6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A15B1AD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</w:tbl>
    <w:p w14:paraId="17F7115F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Supabase HIPAA checklist</w:t>
      </w:r>
    </w:p>
    <w:p w14:paraId="7C621BEF" w14:textId="77777777" w:rsidR="002407AF" w:rsidRDefault="002407A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Upgrade to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Team plan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(minimum).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Free and Pro projects cannot be made HIPAA-compliant.</w:t>
      </w:r>
    </w:p>
    <w:p w14:paraId="5AD6A964" w14:textId="77777777" w:rsidR="002407AF" w:rsidRDefault="002407A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the BAA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Supabase (request via dashboard or the HIPAA form).</w:t>
      </w:r>
    </w:p>
    <w:p w14:paraId="782D4E0C" w14:textId="77777777" w:rsidR="002407AF" w:rsidRDefault="002407A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Enable the HIPAA add-on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organization.</w:t>
      </w:r>
    </w:p>
    <w:p w14:paraId="7D1811B3" w14:textId="77777777" w:rsidR="002407AF" w:rsidRDefault="002407A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Mark the project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"High Compliance"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General → Project Settings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F6BFD3C" w14:textId="77777777" w:rsidR="002407AF" w:rsidRDefault="002407A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Configure required security settings: </w:t>
      </w:r>
    </w:p>
    <w:p w14:paraId="0CDEAE5B" w14:textId="77777777" w:rsidR="002407AF" w:rsidRDefault="002407AF">
      <w:pPr>
        <w:numPr>
          <w:ilvl w:val="1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Point-in-Time Recovery (PITR)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enabled (requires a compute add-on)</w:t>
      </w:r>
    </w:p>
    <w:p w14:paraId="55D39E71" w14:textId="77777777" w:rsidR="002407AF" w:rsidRDefault="002407AF">
      <w:pPr>
        <w:numPr>
          <w:ilvl w:val="1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SSL Enforcement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(already using verified TLS — see §9)</w:t>
      </w:r>
    </w:p>
    <w:p w14:paraId="32723689" w14:textId="77777777" w:rsidR="002407AF" w:rsidRDefault="002407AF">
      <w:pPr>
        <w:numPr>
          <w:ilvl w:val="1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Network Restrictions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enabled (IP allowlist)</w:t>
      </w:r>
    </w:p>
    <w:p w14:paraId="62A2E54F" w14:textId="77777777" w:rsidR="002407AF" w:rsidRDefault="002407AF">
      <w:pPr>
        <w:numPr>
          <w:ilvl w:val="1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Postgres connection logging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kept on (off by default)</w:t>
      </w:r>
    </w:p>
    <w:p w14:paraId="1E43E2BD" w14:textId="77777777" w:rsidR="002407AF" w:rsidRDefault="002407A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Monitor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Advisor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any disabled HIPAA controls.</w:t>
      </w:r>
    </w:p>
    <w:p w14:paraId="2D5E3ABD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Render HIPAA checklist</w:t>
      </w:r>
    </w:p>
    <w:p w14:paraId="1300227B" w14:textId="77777777" w:rsidR="002407AF" w:rsidRDefault="002407A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Upgrade the workspace to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Scale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Enterprise) plan.</w:t>
      </w:r>
    </w:p>
    <w:p w14:paraId="0737768B" w14:textId="77777777" w:rsidR="002407AF" w:rsidRDefault="002407A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the BAA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directly from the Render dashboard.</w:t>
      </w:r>
    </w:p>
    <w:p w14:paraId="75CB6C43" w14:textId="77777777" w:rsidR="002407AF" w:rsidRDefault="002407A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Specify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which workspace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becomes HIPAA-enabled. </w:t>
      </w:r>
      <w:r>
        <w:rPr>
          <w:rStyle w:val="warn1"/>
          <w:rFonts w:ascii="Calibri" w:eastAsia="Times New Roman" w:hAnsi="Calibri" w:cs="Calibri"/>
          <w:sz w:val="22"/>
          <w:szCs w:val="22"/>
        </w:rPr>
        <w:t>This is irreversible.</w:t>
      </w:r>
    </w:p>
    <w:p w14:paraId="18054845" w14:textId="77777777" w:rsidR="002407AF" w:rsidRDefault="002407A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Provision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static outbound IP set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using Supabase Network Restrictions (so there's a fixed IP to allowlist).</w:t>
      </w:r>
    </w:p>
    <w:p w14:paraId="1DB23159" w14:textId="77777777" w:rsidR="002407AF" w:rsidRDefault="002407A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☐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Follow Render's HIPAA best-practices configuration guide.</w:t>
      </w:r>
    </w:p>
    <w:p w14:paraId="581BD23C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Cost estimate</w:t>
      </w:r>
    </w:p>
    <w:p w14:paraId="3E5D3CC3" w14:textId="77777777" w:rsidR="002407AF" w:rsidRDefault="002407A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Emphasis"/>
          <w:rFonts w:ascii="Calibri" w:hAnsi="Calibri" w:cs="Calibri"/>
          <w:color w:val="1A1A1A"/>
          <w:sz w:val="22"/>
          <w:szCs w:val="22"/>
        </w:rPr>
        <w:t xml:space="preserve">Ballpark for budgeting, based on published pricing as of July 2026. The </w:t>
      </w:r>
      <w:r>
        <w:rPr>
          <w:rStyle w:val="Strong"/>
          <w:rFonts w:ascii="Calibri" w:hAnsi="Calibri" w:cs="Calibri"/>
          <w:i/>
          <w:iCs/>
          <w:color w:val="1A1A1A"/>
          <w:sz w:val="22"/>
          <w:szCs w:val="22"/>
        </w:rPr>
        <w:t>Supabase HIPAA add-on price is quote-only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 xml:space="preserve"> and is the main unknown.</w:t>
      </w:r>
    </w:p>
    <w:p w14:paraId="19F0CD13" w14:textId="77777777" w:rsidR="002407AF" w:rsidRDefault="002407A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Supabase (database)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8"/>
        <w:gridCol w:w="1375"/>
        <w:gridCol w:w="4661"/>
      </w:tblGrid>
      <w:tr w:rsidR="00000000" w14:paraId="1EAC690A" w14:textId="77777777"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45F80946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5788A52F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Cost/mo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3035E55A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00000" w14:paraId="19A0AD5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7467913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Team plan (required minimum)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59FC2F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$599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D0666C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Free/Pro cannot do HIPAA</w:t>
            </w:r>
          </w:p>
        </w:tc>
      </w:tr>
      <w:tr w:rsidR="00000000" w14:paraId="44D741D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427ABEA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HIPAA add-on (required)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FB15C3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quote-only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B7EA6F0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Not published — contact Supabase (the wildcard)</w:t>
            </w:r>
          </w:p>
        </w:tc>
      </w:tr>
      <w:tr w:rsidR="00000000" w14:paraId="77F7A6F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06C515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Point-in-Time Recovery (required)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BC36B87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$100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00FD06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per 7 days retention</w:t>
            </w:r>
          </w:p>
        </w:tc>
      </w:tr>
      <w:tr w:rsidR="00000000" w14:paraId="0CF8E1A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CE59FA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Compute add-on (for PITR)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15EC7D3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~$15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C24DB2B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at least "Small" if not already included</w:t>
            </w:r>
          </w:p>
        </w:tc>
      </w:tr>
      <w:tr w:rsidR="00000000" w14:paraId="6D74E67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2F5A620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Subtotal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4F2E706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~$715+/mo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595C35F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plus the unknown HIPAA add-on</w:t>
            </w:r>
          </w:p>
        </w:tc>
      </w:tr>
    </w:tbl>
    <w:p w14:paraId="38B9F344" w14:textId="77777777" w:rsidR="002407AF" w:rsidRDefault="002407A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Render (API hosting)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4"/>
        <w:gridCol w:w="1546"/>
        <w:gridCol w:w="4094"/>
      </w:tblGrid>
      <w:tr w:rsidR="00000000" w14:paraId="3FEE5E6A" w14:textId="77777777"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50B64CBF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7CAB1B7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Cost/mo</w:t>
            </w:r>
          </w:p>
        </w:tc>
        <w:tc>
          <w:tcPr>
            <w:tcW w:w="0" w:type="auto"/>
            <w:tcBorders>
              <w:top w:val="single" w:sz="6" w:space="0" w:color="0B3D5C"/>
              <w:left w:val="single" w:sz="6" w:space="0" w:color="0B3D5C"/>
              <w:bottom w:val="single" w:sz="6" w:space="0" w:color="0B3D5C"/>
              <w:right w:val="single" w:sz="6" w:space="0" w:color="0B3D5C"/>
            </w:tcBorders>
            <w:shd w:val="clear" w:color="auto" w:fill="0B3D5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14:paraId="4B48B90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00000" w14:paraId="07445F1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A8D66F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Scale plan (required)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373692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$499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F353524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flat, unlimited members</w:t>
            </w:r>
          </w:p>
        </w:tc>
      </w:tr>
      <w:tr w:rsidR="00000000" w14:paraId="4267CF1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50124B0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 service instance (Standard)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E94F46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~$25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C931A6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web service compute</w:t>
            </w:r>
          </w:p>
        </w:tc>
      </w:tr>
      <w:tr w:rsidR="00000000" w14:paraId="181102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803C49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Static outbound IP set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9958654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$100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84EF4C5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for Supabase Network Restrictions</w:t>
            </w:r>
          </w:p>
        </w:tc>
      </w:tr>
      <w:tr w:rsidR="00000000" w14:paraId="300CD62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9A0001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Subtotal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1FF0AD8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0"/>
                <w:szCs w:val="20"/>
              </w:rPr>
              <w:t>~$625/mo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04FCA33" w14:textId="77777777" w:rsidR="002407AF" w:rsidRDefault="002407A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</w:p>
        </w:tc>
      </w:tr>
    </w:tbl>
    <w:p w14:paraId="77815968" w14:textId="77777777" w:rsidR="002407AF" w:rsidRDefault="002407A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Total</w:t>
      </w:r>
    </w:p>
    <w:p w14:paraId="384FDB8D" w14:textId="77777777" w:rsidR="002407AF" w:rsidRDefault="002407AF">
      <w:pPr>
        <w:pStyle w:val="total"/>
        <w:spacing w:before="100" w:beforeAutospacing="1"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≈ $1,350 – $1,700 / month → roughly $16,000 – $20,000 / year</w:t>
      </w:r>
    </w:p>
    <w:p w14:paraId="6AA671EF" w14:textId="77777777" w:rsidR="002407AF" w:rsidRDefault="002407A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plus</w:t>
      </w:r>
      <w:r>
        <w:rPr>
          <w:rFonts w:ascii="Calibri" w:hAnsi="Calibri" w:cs="Calibri"/>
          <w:color w:val="1A1A1A"/>
          <w:sz w:val="22"/>
          <w:szCs w:val="22"/>
        </w:rPr>
        <w:t xml:space="preserve"> the Supabase HIPAA add-on (quote-only, could push higher).</w:t>
      </w:r>
    </w:p>
    <w:p w14:paraId="0E6DC321" w14:textId="77777777" w:rsidR="002407AF" w:rsidRDefault="002407A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Context:</w:t>
      </w:r>
      <w:r>
        <w:rPr>
          <w:rFonts w:ascii="Calibri" w:hAnsi="Calibri" w:cs="Calibri"/>
          <w:color w:val="1A1A1A"/>
          <w:sz w:val="22"/>
          <w:szCs w:val="22"/>
        </w:rPr>
        <w:t xml:space="preserve"> current spend is likely ~$0–50/month (Free/Pro tiers). HIPAA compliance is the expensive part, not the application. The figures above are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vendor infrastructure only</w:t>
      </w:r>
      <w:r>
        <w:rPr>
          <w:rFonts w:ascii="Calibri" w:hAnsi="Calibri" w:cs="Calibri"/>
          <w:color w:val="1A1A1A"/>
          <w:sz w:val="22"/>
          <w:szCs w:val="22"/>
        </w:rPr>
        <w:t xml:space="preserve"> — they exclude Twilio, HIPAA email, and non-software costs (legal/compliance review, security assessments, staff time, audits).</w:t>
      </w:r>
    </w:p>
    <w:p w14:paraId="23E392A5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Key considerations &amp; risks</w:t>
      </w:r>
    </w:p>
    <w:p w14:paraId="6C7D8C9F" w14:textId="77777777" w:rsidR="002407AF" w:rsidRDefault="002407AF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Cheaper alternative worth evaluating first: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Many hospital deployments run on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infrastructure the hospital already holds a BAA for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(e.g., internal Azure/AWS under an existing enterprise agreement) rather than signing new vendor BAAs. This could eliminate the Supabase/Render BAA costs entirely.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Ask Northside IT before committing to new vendor contracts.</w:t>
      </w:r>
    </w:p>
    <w:p w14:paraId="278890F2" w14:textId="77777777" w:rsidR="002407AF" w:rsidRDefault="002407AF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Supabase Network Restrictions vs. Render dynamic IPs: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Render's outbound IPs are dynamic by default; a static outbound IP set ($100/mo) is likely needed so Supabase can allowlist a fixed address.</w:t>
      </w:r>
    </w:p>
    <w:p w14:paraId="3D2D5E05" w14:textId="77777777" w:rsidR="002407AF" w:rsidRDefault="002407AF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Render HIPAA workspace upgrade is irreversible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choose the workspace carefully.</w:t>
      </w:r>
    </w:p>
    <w:p w14:paraId="107CB1F2" w14:textId="77777777" w:rsidR="002407AF" w:rsidRDefault="002407AF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 BAA is necessary but not sufficient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each service must also be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configured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HIPAA requirements (see §4–5), and Northside (the covered entity) retains overall responsibility.</w:t>
      </w:r>
    </w:p>
    <w:p w14:paraId="1AC3595F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Recommended next steps</w:t>
      </w:r>
    </w:p>
    <w:p w14:paraId="53485DCA" w14:textId="77777777" w:rsidR="002407AF" w:rsidRDefault="002407A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Get the Supabase HIPAA add-on 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this is the missing cost number.</w:t>
      </w:r>
    </w:p>
    <w:p w14:paraId="1A42E4C7" w14:textId="77777777" w:rsidR="002407AF" w:rsidRDefault="002407A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Consult Northside compliance/IT-security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on: (a) approved-vendor status for Supabase &amp; Render, and (b) whether to host on internal hospital infrastructure instead.</w:t>
      </w:r>
    </w:p>
    <w:p w14:paraId="134F6A55" w14:textId="77777777" w:rsidR="002407AF" w:rsidRDefault="002407A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proceeding with vendors: execute the §4 and §5 checklists.</w:t>
      </w:r>
    </w:p>
    <w:p w14:paraId="68AEEFA8" w14:textId="77777777" w:rsidR="002407AF" w:rsidRDefault="002407A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Complete remaining application-side items (temp-account audit; keep PHI out of notes/SMS).</w:t>
      </w:r>
    </w:p>
    <w:p w14:paraId="1A2CE364" w14:textId="77777777" w:rsidR="002407AF" w:rsidRDefault="002407A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Produce a final annual cost figure for budget approval.</w:t>
      </w:r>
    </w:p>
    <w:p w14:paraId="471C2142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Application security already in place</w:t>
      </w:r>
    </w:p>
    <w:p w14:paraId="1D34C815" w14:textId="77777777" w:rsidR="002407AF" w:rsidRDefault="002407A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application has already been hardened for a PHI deployment (completed July 2026):</w:t>
      </w:r>
    </w:p>
    <w:p w14:paraId="0CEC7EB6" w14:textId="77777777" w:rsidR="002407AF" w:rsidRDefault="002407AF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Encryption in transit: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Verified TLS to the database (certificate pinned via </w:t>
      </w:r>
      <w:r>
        <w:rPr>
          <w:rStyle w:val="HTMLCode"/>
          <w:color w:val="1A1A1A"/>
        </w:rPr>
        <w:t>DATABASE_CA_CERT</w:t>
      </w:r>
      <w:r>
        <w:rPr>
          <w:rFonts w:ascii="Calibri" w:eastAsia="Times New Roman" w:hAnsi="Calibri" w:cs="Calibri"/>
          <w:color w:val="1A1A1A"/>
          <w:sz w:val="22"/>
          <w:szCs w:val="22"/>
        </w:rPr>
        <w:t>); HSTS and strict security headers on client and API.</w:t>
      </w:r>
    </w:p>
    <w:p w14:paraId="67C5BE9E" w14:textId="77777777" w:rsidR="002407AF" w:rsidRDefault="002407AF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Access control: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Role-based authorization; object-level access checks (IDOR fixes); CSRF protection; durable session revocation.</w:t>
      </w:r>
    </w:p>
    <w:p w14:paraId="282E9D93" w14:textId="77777777" w:rsidR="002407AF" w:rsidRDefault="002407AF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Authentication: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bcrypt password hashing (cost 12); 12-character + symbol password policy; constant-time login; account lockout.</w:t>
      </w:r>
    </w:p>
    <w:p w14:paraId="1F5FD2A4" w14:textId="77777777" w:rsidR="002407AF" w:rsidRDefault="002407AF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PHI minimization: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Patient names excluded by design; PHI stripped from SMS; free-text notes carry an identifier warning, automatic MRN/identifier detection, and an admin toggle to disable notes entirely.</w:t>
      </w:r>
    </w:p>
    <w:p w14:paraId="3A20A6EF" w14:textId="77777777" w:rsidR="002407AF" w:rsidRDefault="002407AF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Auditability: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PHI read/export audit logging; ~6-year audit-log retention.</w:t>
      </w:r>
    </w:p>
    <w:p w14:paraId="11B0F1FF" w14:textId="77777777" w:rsidR="002407AF" w:rsidRDefault="002407AF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Supply chain: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Production dependency trees audit clean.</w:t>
      </w:r>
    </w:p>
    <w:p w14:paraId="4C408EF0" w14:textId="77777777" w:rsidR="002407AF" w:rsidRDefault="002407A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Sources</w:t>
      </w:r>
    </w:p>
    <w:p w14:paraId="63B87C14" w14:textId="77777777" w:rsidR="002407AF" w:rsidRDefault="002407AF">
      <w:pPr>
        <w:numPr>
          <w:ilvl w:val="0"/>
          <w:numId w:val="6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Supabase — HIPAA Compliance: https://supabase.com/docs/guides/security/hipaa-compliance</w:t>
      </w:r>
    </w:p>
    <w:p w14:paraId="377D04E0" w14:textId="77777777" w:rsidR="002407AF" w:rsidRDefault="002407AF">
      <w:pPr>
        <w:numPr>
          <w:ilvl w:val="0"/>
          <w:numId w:val="6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Supabase — HIPAA Projects: https://supabase.com/docs/guides/platform/hipaa-projects</w:t>
      </w:r>
    </w:p>
    <w:p w14:paraId="5230D7A5" w14:textId="77777777" w:rsidR="002407AF" w:rsidRDefault="002407AF">
      <w:pPr>
        <w:numPr>
          <w:ilvl w:val="0"/>
          <w:numId w:val="6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Supabase — </w:t>
      </w:r>
      <w:r>
        <w:rPr>
          <w:rFonts w:ascii="Calibri" w:eastAsia="Times New Roman" w:hAnsi="Calibri" w:cs="Calibri"/>
          <w:color w:val="1A1A1A"/>
          <w:sz w:val="22"/>
          <w:szCs w:val="22"/>
        </w:rPr>
        <w:t>Pricing: https://supabase.com/pricing</w:t>
      </w:r>
    </w:p>
    <w:p w14:paraId="36CDBFB7" w14:textId="77777777" w:rsidR="002407AF" w:rsidRDefault="002407AF">
      <w:pPr>
        <w:numPr>
          <w:ilvl w:val="0"/>
          <w:numId w:val="6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Render — HIPAA-enabled Workspaces: https://render.com/blog/introducing-hipaa-enabled-workspaces</w:t>
      </w:r>
    </w:p>
    <w:p w14:paraId="0E40A31B" w14:textId="77777777" w:rsidR="002407AF" w:rsidRDefault="002407AF">
      <w:pPr>
        <w:numPr>
          <w:ilvl w:val="0"/>
          <w:numId w:val="6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Render — Pricing (Scale plan): https://render.com/blog/better-pricing-for-fast-growing-teams</w:t>
      </w:r>
    </w:p>
    <w:p w14:paraId="60BDEB31" w14:textId="77777777" w:rsidR="002407AF" w:rsidRDefault="002407AF">
      <w:pPr>
        <w:numPr>
          <w:ilvl w:val="0"/>
          <w:numId w:val="6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Render — Dedicated / Static Outbound IPs: https://render.com/docs/dedicated-ips</w:t>
      </w:r>
    </w:p>
    <w:sectPr w:rsidR="002407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41A24"/>
    <w:multiLevelType w:val="multilevel"/>
    <w:tmpl w:val="2BA6E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DB6D4C"/>
    <w:multiLevelType w:val="multilevel"/>
    <w:tmpl w:val="8176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F34F81"/>
    <w:multiLevelType w:val="multilevel"/>
    <w:tmpl w:val="9CB2E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BA7DB7"/>
    <w:multiLevelType w:val="multilevel"/>
    <w:tmpl w:val="E1FA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3333FA"/>
    <w:multiLevelType w:val="multilevel"/>
    <w:tmpl w:val="6DC4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BF6458"/>
    <w:multiLevelType w:val="multilevel"/>
    <w:tmpl w:val="8020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9642629">
    <w:abstractNumId w:val="3"/>
  </w:num>
  <w:num w:numId="2" w16cid:durableId="631863555">
    <w:abstractNumId w:val="5"/>
  </w:num>
  <w:num w:numId="3" w16cid:durableId="2055736169">
    <w:abstractNumId w:val="0"/>
  </w:num>
  <w:num w:numId="4" w16cid:durableId="32772949">
    <w:abstractNumId w:val="4"/>
  </w:num>
  <w:num w:numId="5" w16cid:durableId="1896233288">
    <w:abstractNumId w:val="2"/>
  </w:num>
  <w:num w:numId="6" w16cid:durableId="1509757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8BD"/>
    <w:rsid w:val="002407AF"/>
    <w:rsid w:val="007B3E2C"/>
    <w:rsid w:val="00A64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281CA0"/>
  <w15:chartTrackingRefBased/>
  <w15:docId w15:val="{DB432046-61FA-482E-9EA0-819B3DA04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40"/>
      <w:outlineLvl w:val="0"/>
    </w:pPr>
    <w:rPr>
      <w:b/>
      <w:bCs/>
      <w:color w:val="0B3D5C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CCCCCC"/>
      </w:pBdr>
      <w:spacing w:before="400" w:after="100" w:afterAutospacing="1"/>
      <w:outlineLvl w:val="1"/>
    </w:pPr>
    <w:rPr>
      <w:b/>
      <w:bCs/>
      <w:color w:val="0B3D5C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244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EEE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title">
    <w:name w:val="subtitle"/>
    <w:basedOn w:val="Normal"/>
    <w:pPr>
      <w:spacing w:after="40"/>
    </w:pPr>
    <w:rPr>
      <w:color w:val="555555"/>
      <w:sz w:val="26"/>
      <w:szCs w:val="26"/>
    </w:rPr>
  </w:style>
  <w:style w:type="paragraph" w:customStyle="1" w:styleId="meta">
    <w:name w:val="meta"/>
    <w:basedOn w:val="Normal"/>
    <w:pPr>
      <w:spacing w:before="40" w:after="40"/>
    </w:pPr>
    <w:rPr>
      <w:color w:val="666666"/>
      <w:sz w:val="20"/>
      <w:szCs w:val="20"/>
    </w:rPr>
  </w:style>
  <w:style w:type="paragraph" w:customStyle="1" w:styleId="disclaimer">
    <w:name w:val="disclaimer"/>
    <w:basedOn w:val="Normal"/>
    <w:pPr>
      <w:pBdr>
        <w:left w:val="single" w:sz="24" w:space="12" w:color="D9A441"/>
      </w:pBdr>
      <w:shd w:val="clear" w:color="auto" w:fill="FBF4E6"/>
      <w:spacing w:before="40" w:after="40"/>
    </w:pPr>
    <w:rPr>
      <w:color w:val="5A4A1F"/>
      <w:sz w:val="20"/>
      <w:szCs w:val="20"/>
    </w:rPr>
  </w:style>
  <w:style w:type="paragraph" w:customStyle="1" w:styleId="total">
    <w:name w:val="total"/>
    <w:basedOn w:val="Normal"/>
    <w:pPr>
      <w:shd w:val="clear" w:color="auto" w:fill="EEF3F7"/>
      <w:spacing w:before="40" w:after="40"/>
    </w:pPr>
    <w:rPr>
      <w:b/>
      <w:bCs/>
      <w:color w:val="0B3D5C"/>
      <w:sz w:val="26"/>
      <w:szCs w:val="26"/>
    </w:rPr>
  </w:style>
  <w:style w:type="paragraph" w:customStyle="1" w:styleId="warn">
    <w:name w:val="warn"/>
    <w:basedOn w:val="Normal"/>
    <w:pPr>
      <w:spacing w:before="40" w:after="40"/>
    </w:pPr>
    <w:rPr>
      <w:b/>
      <w:bCs/>
      <w:color w:val="B0002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warn1">
    <w:name w:val="warn1"/>
    <w:basedOn w:val="DefaultParagraphFont"/>
    <w:rPr>
      <w:b/>
      <w:bCs/>
      <w:color w:val="B000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1033</Words>
  <Characters>5894</Characters>
  <Application>Microsoft Office Word</Application>
  <DocSecurity>0</DocSecurity>
  <Lines>49</Lines>
  <Paragraphs>13</Paragraphs>
  <ScaleCrop>false</ScaleCrop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Swain</dc:creator>
  <cp:keywords/>
  <dc:description/>
  <cp:lastModifiedBy>Gary Swain</cp:lastModifiedBy>
  <cp:revision>2</cp:revision>
  <dcterms:created xsi:type="dcterms:W3CDTF">2026-07-10T01:49:00Z</dcterms:created>
  <dcterms:modified xsi:type="dcterms:W3CDTF">2026-07-10T01:49:00Z</dcterms:modified>
</cp:coreProperties>
</file>