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hipaa-compliance--fcc-transport-board"/>
    <w:p>
      <w:pPr>
        <w:pStyle w:val="Heading1"/>
      </w:pPr>
      <w:r>
        <w:t xml:space="preserve">HIPAA Compliance — FCC Transport Board</w:t>
      </w:r>
    </w:p>
    <w:p>
      <w:pPr>
        <w:pStyle w:val="FirstParagraph"/>
      </w:pPr>
      <w:r>
        <w:rPr>
          <w:b/>
          <w:bCs/>
        </w:rPr>
        <w:t xml:space="preserve">Infrastructure compliance requirements &amp; cost estimate</w:t>
      </w:r>
    </w:p>
    <w:p>
      <w:pPr>
        <w:pStyle w:val="BodyText"/>
      </w:pPr>
      <w:r>
        <w:t xml:space="preserve">Prepared: July 10, 2026 · Updated: July 19, 2026</w:t>
      </w:r>
      <w:r>
        <w:t xml:space="preserve"> </w:t>
      </w:r>
      <w:r>
        <w:t xml:space="preserve">Application: FCC Transport Board (hospital patient-transport tracker)</w:t>
      </w:r>
    </w:p>
    <w:p>
      <w:pPr>
        <w:pStyle w:val="Block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This document is a technical/operational summary to support planning. It is</w:t>
      </w:r>
      <w:r>
        <w:t xml:space="preserve"> </w:t>
      </w:r>
      <w:r>
        <w:rPr>
          <w:b/>
          <w:bCs/>
        </w:rPr>
        <w:t xml:space="preserve">not legal advice</w:t>
      </w:r>
      <w:r>
        <w:t xml:space="preserve">. Vendor pricing and terms change — verify current figures directly with each vendor. The final compliance determination and vendor approvals should be made by Northside's HIPAA/privacy compliance and IT-security teams.</w:t>
      </w:r>
    </w:p>
    <w:p>
      <w:r>
        <w:pict>
          <v:rect style="width:0;height:1.5pt" o:hralign="center" o:hrstd="t" o:hr="t"/>
        </w:pict>
      </w:r>
    </w:p>
    <w:bookmarkStart w:id="9" w:name="Xc288a453ded2280e55fb33edb20e553b14b34a5"/>
    <w:p>
      <w:pPr>
        <w:pStyle w:val="Heading2"/>
      </w:pPr>
      <w:r>
        <w:t xml:space="preserve">1. Purpose &amp; scope</w:t>
      </w:r>
    </w:p>
    <w:p>
      <w:pPr>
        <w:pStyle w:val="FirstParagraph"/>
      </w:pPr>
      <w:r>
        <w:t xml:space="preserve">The FCC Transport Board tracks patient transports on the mother-baby unit. Although the app</w:t>
      </w:r>
      <w:r>
        <w:t xml:space="preserve"> </w:t>
      </w:r>
      <w:r>
        <w:rPr>
          <w:b/>
          <w:bCs/>
        </w:rPr>
        <w:t xml:space="preserve">does not store patient names</w:t>
      </w:r>
      <w:r>
        <w:t xml:space="preserve">, it records</w:t>
      </w:r>
      <w:r>
        <w:t xml:space="preserve"> </w:t>
      </w:r>
      <w:r>
        <w:rPr>
          <w:b/>
          <w:bCs/>
        </w:rPr>
        <w:t xml:space="preserve">room number + transport event + timestamp</w:t>
      </w:r>
      <w:r>
        <w:t xml:space="preserve"> </w:t>
      </w:r>
      <w:r>
        <w:t xml:space="preserve">(and optionally free-text notes). Under HIPAA, this combination is</w:t>
      </w:r>
      <w:r>
        <w:t xml:space="preserve"> </w:t>
      </w:r>
      <w:r>
        <w:rPr>
          <w:b/>
          <w:bCs/>
        </w:rPr>
        <w:t xml:space="preserve">Protected Health Information (PHI)</w:t>
      </w:r>
      <w:r>
        <w:t xml:space="preserve"> </w:t>
      </w:r>
      <w:r>
        <w:t xml:space="preserve">— it identifies a specific individual's care event. Therefore, any third-party service that</w:t>
      </w:r>
      <w:r>
        <w:t xml:space="preserve"> </w:t>
      </w:r>
      <w:r>
        <w:rPr>
          <w:b/>
          <w:bCs/>
        </w:rPr>
        <w:t xml:space="preserve">creates, receives, stores, or transmits</w:t>
      </w:r>
      <w:r>
        <w:t xml:space="preserve"> </w:t>
      </w:r>
      <w:r>
        <w:t xml:space="preserve">this data on our behalf requires a signed</w:t>
      </w:r>
      <w:r>
        <w:t xml:space="preserve"> </w:t>
      </w:r>
      <w:r>
        <w:rPr>
          <w:b/>
          <w:bCs/>
        </w:rPr>
        <w:t xml:space="preserve">Business Associate Agreement (BAA)</w:t>
      </w:r>
      <w:r>
        <w:t xml:space="preserve">.</w:t>
      </w:r>
    </w:p>
    <w:bookmarkEnd w:id="9"/>
    <w:bookmarkStart w:id="10" w:name="Xb4c770967aa3d60c9410c40196cb2fca1490948"/>
    <w:p>
      <w:pPr>
        <w:pStyle w:val="Heading2"/>
      </w:pPr>
      <w:r>
        <w:t xml:space="preserve">2. Data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element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 the app?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 number</w:t>
            </w:r>
          </w:p>
        </w:tc>
        <w:tc>
          <w:tcPr/>
          <w:p>
            <w:pPr>
              <w:pStyle w:val="Compact"/>
            </w:pPr>
            <w:r>
              <w:t xml:space="preserve">PHI (location identifier)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time / event</w:t>
            </w:r>
          </w:p>
        </w:tc>
        <w:tc>
          <w:tcPr/>
          <w:p>
            <w:pPr>
              <w:pStyle w:val="Compact"/>
            </w:pPr>
            <w:r>
              <w:t xml:space="preserve">PHI (care event)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floor / destination</w:t>
            </w:r>
          </w:p>
        </w:tc>
        <w:tc>
          <w:tcPr/>
          <w:p>
            <w:pPr>
              <w:pStyle w:val="Compact"/>
            </w:pPr>
            <w:r>
              <w:t xml:space="preserve">PHI (location)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Free-text notes</w:t>
            </w:r>
          </w:p>
        </w:tc>
        <w:tc>
          <w:tcPr/>
          <w:p>
            <w:pPr>
              <w:pStyle w:val="Compact"/>
            </w:pPr>
            <w:r>
              <w:t xml:space="preserve">Potential PHI</w:t>
            </w:r>
          </w:p>
        </w:tc>
        <w:tc>
          <w:tcPr/>
          <w:p>
            <w:pPr>
              <w:pStyle w:val="Compact"/>
            </w:pPr>
            <w:r>
              <w:t xml:space="preserve">Yes — with guardrails (see §8); can be disabled by an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name</w:t>
            </w:r>
          </w:p>
        </w:tc>
        <w:tc>
          <w:tcPr/>
          <w:p>
            <w:pPr>
              <w:pStyle w:val="Compact"/>
            </w:pPr>
            <w:r>
              <w:t xml:space="preserve">PHI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deliberately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name / email / extension / role</w:t>
            </w:r>
          </w:p>
        </w:tc>
        <w:tc>
          <w:tcPr/>
          <w:p>
            <w:pPr>
              <w:pStyle w:val="Compact"/>
            </w:pPr>
            <w:r>
              <w:t xml:space="preserve">Employee data (not patient PHI)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0"/>
    <w:bookmarkStart w:id="11" w:name="X42d71236af551dad02f975354364fb7e0aa6971"/>
    <w:p>
      <w:pPr>
        <w:pStyle w:val="Heading2"/>
      </w:pPr>
      <w:r>
        <w:t xml:space="preserve">3. Vendor BAA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Touches PHI?</w:t>
            </w:r>
          </w:p>
        </w:tc>
        <w:tc>
          <w:tcPr/>
          <w:p>
            <w:pPr>
              <w:pStyle w:val="Compact"/>
            </w:pPr>
            <w:r>
              <w:t xml:space="preserve">BAA required?</w:t>
            </w:r>
          </w:p>
        </w:tc>
        <w:tc>
          <w:tcPr/>
          <w:p>
            <w:pPr>
              <w:pStyle w:val="Compact"/>
            </w:pPr>
            <w:r>
              <w:t xml:space="preserve">Status /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 (PHI at rest)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Requires Team plan + HIPAA add-on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API hosting (PHI in transit/processing)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Requires Scale/Enterprise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SMS (optional)</w:t>
            </w:r>
          </w:p>
        </w:tc>
        <w:tc>
          <w:tcPr/>
          <w:p>
            <w:pPr>
              <w:pStyle w:val="Compact"/>
            </w:pPr>
            <w:r>
              <w:t xml:space="preserve">No —</w:t>
            </w:r>
            <w:r>
              <w:t xml:space="preserve"> </w:t>
            </w:r>
            <w:r>
              <w:rPr>
                <w:b/>
                <w:bCs/>
              </w:rPr>
              <w:t xml:space="preserve">not configured</w:t>
            </w:r>
          </w:p>
        </w:tc>
        <w:tc>
          <w:tcPr/>
          <w:p>
            <w:pPr>
              <w:pStyle w:val="Compact"/>
            </w:pPr>
            <w:r>
              <w:t xml:space="preserve">Not currently</w:t>
            </w:r>
          </w:p>
        </w:tc>
        <w:tc>
          <w:tcPr/>
          <w:p>
            <w:pPr>
              <w:pStyle w:val="Compact"/>
            </w:pPr>
            <w:r>
              <w:t xml:space="preserve">SMS is disabled: the service requires</w:t>
            </w:r>
            <w:r>
              <w:t xml:space="preserve"> </w:t>
            </w:r>
            <w:r>
              <w:rPr>
                <w:rStyle w:val="VerbatimChar"/>
              </w:rPr>
              <w:t xml:space="preserve">TWILIO_*</w:t>
            </w:r>
            <w:r>
              <w:t xml:space="preserve"> </w:t>
            </w:r>
            <w:r>
              <w:t xml:space="preserve">env vars, which are not set in the deployment. Even if enabled, messages contain no patient data (PHI stripped in code). Re-evaluate BAA only if SMS is turned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/ Gmail</w:t>
            </w:r>
          </w:p>
        </w:tc>
        <w:tc>
          <w:tcPr/>
          <w:p>
            <w:pPr>
              <w:pStyle w:val="Compact"/>
            </w:pPr>
            <w:r>
              <w:t xml:space="preserve">Email (staff password resets)</w:t>
            </w:r>
          </w:p>
        </w:tc>
        <w:tc>
          <w:tcPr/>
          <w:p>
            <w:pPr>
              <w:pStyle w:val="Compact"/>
            </w:pPr>
            <w:r>
              <w:t xml:space="preserve">No patient PHI</w:t>
            </w:r>
          </w:p>
        </w:tc>
        <w:tc>
          <w:tcPr/>
          <w:p>
            <w:pPr>
              <w:pStyle w:val="Compact"/>
            </w:pPr>
            <w:r>
              <w:t xml:space="preserve">No (for current use)</w:t>
            </w:r>
          </w:p>
        </w:tc>
        <w:tc>
          <w:tcPr/>
          <w:p>
            <w:pPr>
              <w:pStyle w:val="Compact"/>
            </w:pPr>
            <w:r>
              <w:t xml:space="preserve">Consumer Gmail has</w:t>
            </w:r>
            <w:r>
              <w:t xml:space="preserve"> </w:t>
            </w:r>
            <w:r>
              <w:rPr>
                <w:b/>
                <w:bCs/>
              </w:rPr>
              <w:t xml:space="preserve">no BAA</w:t>
            </w:r>
            <w:r>
              <w:t xml:space="preserve">; do not route PHI through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 PHI is committed (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is gitignored)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/ DNS registrar</w:t>
            </w:r>
          </w:p>
        </w:tc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1"/>
    <w:bookmarkStart w:id="12" w:name="X0f4b7b692d6c15cc3bac4db70a5dee7786dfe6c"/>
    <w:p>
      <w:pPr>
        <w:pStyle w:val="Heading2"/>
      </w:pPr>
      <w:r>
        <w:t xml:space="preserve">4. Supabase HIPAA checklist</w:t>
      </w:r>
    </w:p>
    <w:p>
      <w:pPr>
        <w:pStyle w:val="Compact"/>
        <w:numPr>
          <w:ilvl w:val="0"/>
          <w:numId w:val="1001"/>
        </w:numPr>
      </w:pPr>
      <w:r>
        <w:t xml:space="preserve">Upgrade to the</w:t>
      </w:r>
      <w:r>
        <w:t xml:space="preserve"> </w:t>
      </w:r>
      <w:r>
        <w:rPr>
          <w:b/>
          <w:bCs/>
        </w:rPr>
        <w:t xml:space="preserve">Team plan</w:t>
      </w:r>
      <w:r>
        <w:t xml:space="preserve"> </w:t>
      </w:r>
      <w:r>
        <w:t xml:space="preserve">(minimum).</w:t>
      </w:r>
      <w:r>
        <w:t xml:space="preserve"> </w:t>
      </w:r>
      <w:r>
        <w:rPr>
          <w:i/>
          <w:iCs/>
        </w:rPr>
        <w:t xml:space="preserve">Free and Pro projects cannot be made HIPAA-compliant.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 the BAA</w:t>
      </w:r>
      <w:r>
        <w:t xml:space="preserve"> </w:t>
      </w:r>
      <w:r>
        <w:t xml:space="preserve">with Supabase (request via dashboard or the HIPAA form).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Enable the HIPAA add-on</w:t>
      </w:r>
      <w:r>
        <w:t xml:space="preserve"> </w:t>
      </w:r>
      <w:r>
        <w:t xml:space="preserve">on the organization.</w:t>
      </w:r>
    </w:p>
    <w:p>
      <w:pPr>
        <w:pStyle w:val="Compact"/>
        <w:numPr>
          <w:ilvl w:val="0"/>
          <w:numId w:val="1004"/>
        </w:numPr>
      </w:pPr>
      <w:r>
        <w:t xml:space="preserve">Mark the project</w:t>
      </w:r>
      <w:r>
        <w:t xml:space="preserve"> </w:t>
      </w:r>
      <w:r>
        <w:rPr>
          <w:b/>
          <w:bCs/>
        </w:rPr>
        <w:t xml:space="preserve">"High Compliance"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General → Project Settings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Configure required security settings: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Point-in-Time Recovery (PITR)</w:t>
      </w:r>
      <w:r>
        <w:t xml:space="preserve"> </w:t>
      </w:r>
      <w:r>
        <w:t xml:space="preserve">enabled (requires a compute add-on)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SSL Enforcement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(already using verified TLS — see §9)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Network Restrictions</w:t>
      </w:r>
      <w:r>
        <w:t xml:space="preserve"> </w:t>
      </w:r>
      <w:r>
        <w:t xml:space="preserve">enabled (IP allowlist)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Postgres connection logging</w:t>
      </w:r>
      <w:r>
        <w:t xml:space="preserve"> </w:t>
      </w:r>
      <w:r>
        <w:t xml:space="preserve">kept on (off by default)</w:t>
      </w:r>
    </w:p>
    <w:p>
      <w:pPr>
        <w:pStyle w:val="Compact"/>
        <w:numPr>
          <w:ilvl w:val="0"/>
          <w:numId w:val="1010"/>
        </w:numPr>
      </w:pPr>
      <w:r>
        <w:t xml:space="preserve">Monitor the</w:t>
      </w:r>
      <w:r>
        <w:t xml:space="preserve"> </w:t>
      </w:r>
      <w:r>
        <w:rPr>
          <w:b/>
          <w:bCs/>
        </w:rPr>
        <w:t xml:space="preserve">Security Advisor</w:t>
      </w:r>
      <w:r>
        <w:t xml:space="preserve"> </w:t>
      </w:r>
      <w:r>
        <w:t xml:space="preserve">for any disabled HIPAA controls.</w:t>
      </w:r>
    </w:p>
    <w:bookmarkEnd w:id="12"/>
    <w:bookmarkStart w:id="13" w:name="Xc383ce9cbf36932b0fbf4261684822cfd7bb0ea"/>
    <w:p>
      <w:pPr>
        <w:pStyle w:val="Heading2"/>
      </w:pPr>
      <w:r>
        <w:t xml:space="preserve">5. Render HIPAA checklist</w:t>
      </w:r>
    </w:p>
    <w:p>
      <w:pPr>
        <w:pStyle w:val="Compact"/>
        <w:numPr>
          <w:ilvl w:val="0"/>
          <w:numId w:val="1011"/>
        </w:numPr>
      </w:pPr>
      <w:r>
        <w:t xml:space="preserve">Upgrade the workspace to the</w:t>
      </w:r>
      <w:r>
        <w:t xml:space="preserve"> </w:t>
      </w:r>
      <w:r>
        <w:rPr>
          <w:b/>
          <w:bCs/>
        </w:rPr>
        <w:t xml:space="preserve">Scale</w:t>
      </w:r>
      <w:r>
        <w:t xml:space="preserve"> </w:t>
      </w:r>
      <w:r>
        <w:t xml:space="preserve">(or Enterprise) plan.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Sign the BAA</w:t>
      </w:r>
      <w:r>
        <w:t xml:space="preserve"> </w:t>
      </w:r>
      <w:r>
        <w:t xml:space="preserve">directly from the Render dashboard.</w:t>
      </w:r>
    </w:p>
    <w:p>
      <w:pPr>
        <w:pStyle w:val="Compact"/>
        <w:numPr>
          <w:ilvl w:val="0"/>
          <w:numId w:val="1013"/>
        </w:numPr>
      </w:pPr>
      <w:r>
        <w:t xml:space="preserve">Specify</w:t>
      </w:r>
      <w:r>
        <w:t xml:space="preserve"> </w:t>
      </w:r>
      <w:r>
        <w:rPr>
          <w:b/>
          <w:bCs/>
        </w:rPr>
        <w:t xml:space="preserve">which workspace</w:t>
      </w:r>
      <w:r>
        <w:t xml:space="preserve"> </w:t>
      </w:r>
      <w:r>
        <w:t xml:space="preserve">becomes HIPAA-enabled. ⚠️</w:t>
      </w:r>
      <w:r>
        <w:t xml:space="preserve"> </w:t>
      </w:r>
      <w:r>
        <w:rPr>
          <w:b/>
          <w:bCs/>
        </w:rPr>
        <w:t xml:space="preserve">This is irreversible.</w:t>
      </w:r>
    </w:p>
    <w:p>
      <w:pPr>
        <w:pStyle w:val="Compact"/>
        <w:numPr>
          <w:ilvl w:val="0"/>
          <w:numId w:val="1014"/>
        </w:numPr>
      </w:pPr>
      <w:r>
        <w:t xml:space="preserve">Provision a</w:t>
      </w:r>
      <w:r>
        <w:t xml:space="preserve"> </w:t>
      </w:r>
      <w:r>
        <w:rPr>
          <w:b/>
          <w:bCs/>
        </w:rPr>
        <w:t xml:space="preserve">static outbound IP set</w:t>
      </w:r>
      <w:r>
        <w:t xml:space="preserve"> </w:t>
      </w:r>
      <w:r>
        <w:t xml:space="preserve">if using Supabase Network Restrictions (so there's a fixed IP to allowlist).</w:t>
      </w:r>
    </w:p>
    <w:p>
      <w:pPr>
        <w:pStyle w:val="Compact"/>
        <w:numPr>
          <w:ilvl w:val="0"/>
          <w:numId w:val="1015"/>
        </w:numPr>
      </w:pPr>
      <w:r>
        <w:t xml:space="preserve">Follow Render's HIPAA best-practices configuration guide.</w:t>
      </w:r>
    </w:p>
    <w:bookmarkEnd w:id="13"/>
    <w:bookmarkStart w:id="17" w:name="X8bcf6209731217c5ea00f2d1ee05f7fdaed3a1e"/>
    <w:p>
      <w:pPr>
        <w:pStyle w:val="Heading2"/>
      </w:pPr>
      <w:r>
        <w:t xml:space="preserve">6. Cost estimate</w:t>
      </w:r>
    </w:p>
    <w:p>
      <w:pPr>
        <w:pStyle w:val="BlockText"/>
      </w:pPr>
      <w:r>
        <w:t xml:space="preserve">Ballpark for budgeting, based on published pricing as of July 2026. The</w:t>
      </w:r>
      <w:r>
        <w:t xml:space="preserve"> </w:t>
      </w:r>
      <w:r>
        <w:rPr>
          <w:b/>
          <w:bCs/>
        </w:rPr>
        <w:t xml:space="preserve">Supabase HIPAA add-on price is quote-only</w:t>
      </w:r>
      <w:r>
        <w:t xml:space="preserve"> </w:t>
      </w:r>
      <w:r>
        <w:t xml:space="preserve">and is the main unknown.</w:t>
      </w:r>
    </w:p>
    <w:bookmarkStart w:id="14" w:name="supabase-database"/>
    <w:p>
      <w:pPr>
        <w:pStyle w:val="Heading3"/>
      </w:pPr>
      <w:r>
        <w:t xml:space="preserve">Supabase (database)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Cost/mo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plan (required minimum)</w:t>
            </w:r>
          </w:p>
        </w:tc>
        <w:tc>
          <w:tcPr/>
          <w:p>
            <w:pPr>
              <w:pStyle w:val="Compact"/>
            </w:pPr>
            <w:r>
              <w:t xml:space="preserve">$599</w:t>
            </w:r>
          </w:p>
        </w:tc>
        <w:tc>
          <w:tcPr/>
          <w:p>
            <w:pPr>
              <w:pStyle w:val="Compact"/>
            </w:pPr>
            <w:r>
              <w:t xml:space="preserve">Free/Pro cannot do HIPAA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 add-on (required)</w:t>
            </w:r>
          </w:p>
        </w:tc>
        <w:tc>
          <w:tcPr/>
          <w:p>
            <w:pPr>
              <w:pStyle w:val="Compact"/>
            </w:pPr>
            <w:r>
              <w:t xml:space="preserve">quote-only</w:t>
            </w:r>
          </w:p>
        </w:tc>
        <w:tc>
          <w:tcPr/>
          <w:p>
            <w:pPr>
              <w:pStyle w:val="Compact"/>
            </w:pPr>
            <w:r>
              <w:t xml:space="preserve">Not published — contact Supabase (the wildcard)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Point-in-Time Recovery (required)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per 7 days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add-on (for PITR)</w:t>
            </w:r>
          </w:p>
        </w:tc>
        <w:tc>
          <w:tcPr/>
          <w:p>
            <w:pPr>
              <w:pStyle w:val="Compact"/>
            </w:pPr>
            <w:r>
              <w:t xml:space="preserve">~$15</w:t>
            </w:r>
          </w:p>
        </w:tc>
        <w:tc>
          <w:tcPr/>
          <w:p>
            <w:pPr>
              <w:pStyle w:val="Compact"/>
            </w:pPr>
            <w:r>
              <w:t xml:space="preserve">at least "Small" if not already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~$715+/mo</w:t>
            </w:r>
          </w:p>
        </w:tc>
        <w:tc>
          <w:tcPr/>
          <w:p>
            <w:pPr>
              <w:pStyle w:val="Compact"/>
            </w:pPr>
            <w:r>
              <w:t xml:space="preserve">plus the unknown HIPAA add-on</w:t>
            </w:r>
          </w:p>
        </w:tc>
      </w:tr>
    </w:tbl>
    <w:bookmarkEnd w:id="14"/>
    <w:bookmarkStart w:id="15" w:name="render-api-hosting"/>
    <w:p>
      <w:pPr>
        <w:pStyle w:val="Heading3"/>
      </w:pPr>
      <w:r>
        <w:t xml:space="preserve">Render (API hosting)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Cost/mo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 plan (required)</w:t>
            </w:r>
          </w:p>
        </w:tc>
        <w:tc>
          <w:tcPr/>
          <w:p>
            <w:pPr>
              <w:pStyle w:val="Compact"/>
            </w:pPr>
            <w:r>
              <w:t xml:space="preserve">$499</w:t>
            </w:r>
          </w:p>
        </w:tc>
        <w:tc>
          <w:tcPr/>
          <w:p>
            <w:pPr>
              <w:pStyle w:val="Compact"/>
            </w:pPr>
            <w:r>
              <w:t xml:space="preserve">flat, unlimited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service instance (Standard)</w:t>
            </w:r>
          </w:p>
        </w:tc>
        <w:tc>
          <w:tcPr/>
          <w:p>
            <w:pPr>
              <w:pStyle w:val="Compact"/>
            </w:pPr>
            <w:r>
              <w:t xml:space="preserve">~$25</w:t>
            </w:r>
          </w:p>
        </w:tc>
        <w:tc>
          <w:tcPr/>
          <w:p>
            <w:pPr>
              <w:pStyle w:val="Compact"/>
            </w:pPr>
            <w:r>
              <w:t xml:space="preserve">web service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outbound IP set</w:t>
            </w:r>
          </w:p>
        </w:tc>
        <w:tc>
          <w:tcPr/>
          <w:p>
            <w:pPr>
              <w:pStyle w:val="Compact"/>
            </w:pPr>
            <w:r>
              <w:t xml:space="preserve">$100</w:t>
            </w:r>
          </w:p>
        </w:tc>
        <w:tc>
          <w:tcPr/>
          <w:p>
            <w:pPr>
              <w:pStyle w:val="Compact"/>
            </w:pPr>
            <w:r>
              <w:t xml:space="preserve">for Supabase Network Restrictions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~$625/mo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total"/>
    <w:p>
      <w:pPr>
        <w:pStyle w:val="Heading3"/>
      </w:pPr>
      <w:r>
        <w:t xml:space="preserve">Total</w:t>
      </w:r>
    </w:p>
    <w:p>
      <w:pPr>
        <w:pStyle w:val="FirstParagraph"/>
      </w:pPr>
      <w:r>
        <w:rPr>
          <w:b/>
          <w:bCs/>
        </w:rPr>
        <w:t xml:space="preserve">≈ $1,350 – $1,700 / month → roughly $16,000 – $20,000 / year</w:t>
      </w:r>
      <w:r>
        <w:t xml:space="preserve">,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the Supabase HIPAA add-on (quote-only, could push higher).</w:t>
      </w:r>
    </w:p>
    <w:p>
      <w:pPr>
        <w:pStyle w:val="BodyText"/>
      </w:pPr>
      <w:r>
        <w:rPr>
          <w:b/>
          <w:bCs/>
        </w:rPr>
        <w:t xml:space="preserve">Context:</w:t>
      </w:r>
      <w:r>
        <w:t xml:space="preserve"> </w:t>
      </w:r>
      <w:r>
        <w:t xml:space="preserve">current spend is likely ~$0–50/month (Free/Pro tiers). HIPAA compliance is the expensive part, not the application. The figures above are</w:t>
      </w:r>
      <w:r>
        <w:t xml:space="preserve"> </w:t>
      </w:r>
      <w:r>
        <w:rPr>
          <w:b/>
          <w:bCs/>
        </w:rPr>
        <w:t xml:space="preserve">vendor infrastructure only</w:t>
      </w:r>
      <w:r>
        <w:t xml:space="preserve"> </w:t>
      </w:r>
      <w:r>
        <w:t xml:space="preserve">— they exclude Twilio, HIPAA email, and non-software costs (legal/compliance review, security assessments, staff time, audits).</w:t>
      </w:r>
    </w:p>
    <w:bookmarkEnd w:id="16"/>
    <w:bookmarkEnd w:id="17"/>
    <w:bookmarkStart w:id="18" w:name="Xb4910f652d6d81694d0b6ad6be954169bf9a6c3"/>
    <w:p>
      <w:pPr>
        <w:pStyle w:val="Heading2"/>
      </w:pPr>
      <w:r>
        <w:t xml:space="preserve">7. Key considerations &amp; risks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Cheaper alternative worth evaluating first:</w:t>
      </w:r>
      <w:r>
        <w:t xml:space="preserve"> </w:t>
      </w:r>
      <w:r>
        <w:t xml:space="preserve">Many hospital deployments run on</w:t>
      </w:r>
      <w:r>
        <w:t xml:space="preserve"> </w:t>
      </w:r>
      <w:r>
        <w:rPr>
          <w:b/>
          <w:bCs/>
        </w:rPr>
        <w:t xml:space="preserve">infrastructure the hospital already holds a BAA for</w:t>
      </w:r>
      <w:r>
        <w:t xml:space="preserve"> </w:t>
      </w:r>
      <w:r>
        <w:t xml:space="preserve">(e.g., internal Azure/AWS under an existing enterprise agreement) rather than signing new vendor BAAs. This could eliminate the Supabase/Render BAA costs entirely.</w:t>
      </w:r>
      <w:r>
        <w:t xml:space="preserve"> </w:t>
      </w:r>
      <w:r>
        <w:rPr>
          <w:b/>
          <w:bCs/>
        </w:rPr>
        <w:t xml:space="preserve">Ask Northside IT before committing to new vendor contracts.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Supabase Network Restrictions vs. Render dynamic IPs:</w:t>
      </w:r>
      <w:r>
        <w:t xml:space="preserve"> </w:t>
      </w:r>
      <w:r>
        <w:t xml:space="preserve">Render's outbound IPs are dynamic by default; a static outbound IP set ($100/mo) is likely needed so Supabase can allowlist a fixed address.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Render HIPAA workspace upgrade is irreversible</w:t>
      </w:r>
      <w:r>
        <w:t xml:space="preserve"> </w:t>
      </w:r>
      <w:r>
        <w:t xml:space="preserve">— choose the workspace carefully.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 BAA is necessary but not sufficient</w:t>
      </w:r>
      <w:r>
        <w:t xml:space="preserve"> </w:t>
      </w:r>
      <w:r>
        <w:t xml:space="preserve">— each service must also be</w:t>
      </w:r>
      <w:r>
        <w:t xml:space="preserve"> </w:t>
      </w:r>
      <w:r>
        <w:rPr>
          <w:i/>
          <w:iCs/>
        </w:rPr>
        <w:t xml:space="preserve">configured</w:t>
      </w:r>
      <w:r>
        <w:t xml:space="preserve"> </w:t>
      </w:r>
      <w:r>
        <w:t xml:space="preserve">to the HIPAA requirements (see §4–5), and Northside (the covered entity) retains overall responsibility.</w:t>
      </w:r>
    </w:p>
    <w:bookmarkEnd w:id="18"/>
    <w:bookmarkStart w:id="19" w:name="Xcb2ccc5781c81a407ccd2cc047df0f8ce99c592"/>
    <w:p>
      <w:pPr>
        <w:pStyle w:val="Heading2"/>
      </w:pPr>
      <w:r>
        <w:t xml:space="preserve">8. Recommended next steps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Get the Supabase HIPAA add-on quote</w:t>
      </w:r>
      <w:r>
        <w:t xml:space="preserve"> </w:t>
      </w:r>
      <w:r>
        <w:t xml:space="preserve">— this is the missing cost number.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Consult Northside compliance/IT-security</w:t>
      </w:r>
      <w:r>
        <w:t xml:space="preserve"> </w:t>
      </w:r>
      <w:r>
        <w:t xml:space="preserve">on: (a) approved-vendor status for Supabase &amp; Render, and (b) whether to host on internal hospital infrastructure instead.</w:t>
      </w:r>
    </w:p>
    <w:p>
      <w:pPr>
        <w:pStyle w:val="Compact"/>
        <w:numPr>
          <w:ilvl w:val="0"/>
          <w:numId w:val="1017"/>
        </w:numPr>
      </w:pPr>
      <w:r>
        <w:t xml:space="preserve">If proceeding with vendors: execute the §4 and §5 checklists.</w:t>
      </w:r>
    </w:p>
    <w:p>
      <w:pPr>
        <w:pStyle w:val="Compact"/>
        <w:numPr>
          <w:ilvl w:val="0"/>
          <w:numId w:val="1017"/>
        </w:numPr>
      </w:pPr>
      <w:r>
        <w:t xml:space="preserve">Complete the one remaining application-side item: the</w:t>
      </w:r>
      <w:r>
        <w:t xml:space="preserve"> </w:t>
      </w:r>
      <w:r>
        <w:rPr>
          <w:b/>
          <w:bCs/>
        </w:rPr>
        <w:t xml:space="preserve">temp-account audit</w:t>
      </w:r>
      <w:r>
        <w:t xml:space="preserve"> </w:t>
      </w:r>
      <w:r>
        <w:t xml:space="preserve">— remove or disable the seeded test accounts (shared known passwords) in the production database.</w:t>
      </w:r>
      <w:r>
        <w:t xml:space="preserve"> </w:t>
      </w:r>
      <w:r>
        <w:rPr>
          <w:i/>
          <w:iCs/>
        </w:rPr>
        <w:t xml:space="preserve">(PHI-out-of-notes/SMS guardrails: ✅ done July 2026.)</w:t>
      </w:r>
    </w:p>
    <w:p>
      <w:pPr>
        <w:pStyle w:val="Compact"/>
        <w:numPr>
          <w:ilvl w:val="0"/>
          <w:numId w:val="1017"/>
        </w:numPr>
      </w:pPr>
      <w:r>
        <w:t xml:space="preserve">Produce a final annual cost figure for budget approval.</w:t>
      </w:r>
    </w:p>
    <w:bookmarkEnd w:id="19"/>
    <w:bookmarkStart w:id="20" w:name="X4e4041ad8b12e50dc904b764cec52bc304efb65"/>
    <w:p>
      <w:pPr>
        <w:pStyle w:val="Heading2"/>
      </w:pPr>
      <w:r>
        <w:t xml:space="preserve">9. Application security already in place</w:t>
      </w:r>
    </w:p>
    <w:p>
      <w:pPr>
        <w:pStyle w:val="FirstParagraph"/>
      </w:pPr>
      <w:r>
        <w:t xml:space="preserve">The application has already been hardened for a PHI deployment (completed July 2026):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Encryption in transit:</w:t>
      </w:r>
      <w:r>
        <w:t xml:space="preserve"> </w:t>
      </w:r>
      <w:r>
        <w:t xml:space="preserve">Verified TLS to the database (certificate pinned via</w:t>
      </w:r>
      <w:r>
        <w:t xml:space="preserve"> </w:t>
      </w:r>
      <w:r>
        <w:rPr>
          <w:rStyle w:val="VerbatimChar"/>
        </w:rPr>
        <w:t xml:space="preserve">DATABASE_CA_CERT</w:t>
      </w:r>
      <w:r>
        <w:t xml:space="preserve">); HSTS and strict security headers on client and API.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Role-based authorization; object-level access checks (IDOR fixes); CSRF protection; durable session revocation.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Automatic logoff (45 CFR §164.312(a)(2)(iii)):</w:t>
      </w:r>
      <w:r>
        <w:t xml:space="preserve"> </w:t>
      </w:r>
      <w:r>
        <w:t xml:space="preserve">Configurable daily auto-logout that ends every session across all roles — including supervisors and managers — with durable token revocation, so no login survives past the scheduled time; managers can also force-logout any individual user or secretary session on demand (added July 19, 2026).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bcrypt password hashing (cost 12); 12-character + symbol password policy; constant-time login; account lockout.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PHI minimization:</w:t>
      </w:r>
      <w:r>
        <w:t xml:space="preserve"> </w:t>
      </w:r>
      <w:r>
        <w:t xml:space="preserve">Patient names excluded by design; PHI stripped from SMS; free-text notes carry an identifier warning, automatic MRN/identifier detection, and an admin toggle to disable notes entirely.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Auditability:</w:t>
      </w:r>
      <w:r>
        <w:t xml:space="preserve"> </w:t>
      </w:r>
      <w:r>
        <w:t xml:space="preserve">PHI read/export audit logging; ~6-year audit-log retention.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Supply chain:</w:t>
      </w:r>
      <w:r>
        <w:t xml:space="preserve"> </w:t>
      </w:r>
      <w:r>
        <w:t xml:space="preserve">Production dependency trees audit clean.</w:t>
      </w:r>
    </w:p>
    <w:bookmarkEnd w:id="20"/>
    <w:bookmarkStart w:id="27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9"/>
        </w:numPr>
      </w:pPr>
      <w:r>
        <w:t xml:space="preserve">Supabase — HIPAA Compliance:</w:t>
      </w:r>
      <w:r>
        <w:t xml:space="preserve"> </w:t>
      </w:r>
      <w:hyperlink r:id="rId21">
        <w:r>
          <w:rPr>
            <w:rStyle w:val="Hyperlink"/>
          </w:rPr>
          <w:t xml:space="preserve">https://supabase.com/docs/guides/security/hipaa-compliance</w:t>
        </w:r>
      </w:hyperlink>
    </w:p>
    <w:p>
      <w:pPr>
        <w:pStyle w:val="Compact"/>
        <w:numPr>
          <w:ilvl w:val="0"/>
          <w:numId w:val="1019"/>
        </w:numPr>
      </w:pPr>
      <w:r>
        <w:t xml:space="preserve">Supabase — HIPAA Projects:</w:t>
      </w:r>
      <w:r>
        <w:t xml:space="preserve"> </w:t>
      </w:r>
      <w:hyperlink r:id="rId22">
        <w:r>
          <w:rPr>
            <w:rStyle w:val="Hyperlink"/>
          </w:rPr>
          <w:t xml:space="preserve">https://supabase.com/docs/guides/platform/hipaa-projects</w:t>
        </w:r>
      </w:hyperlink>
    </w:p>
    <w:p>
      <w:pPr>
        <w:pStyle w:val="Compact"/>
        <w:numPr>
          <w:ilvl w:val="0"/>
          <w:numId w:val="1019"/>
        </w:numPr>
      </w:pPr>
      <w:r>
        <w:t xml:space="preserve">Supabase — Pricing:</w:t>
      </w:r>
      <w:r>
        <w:t xml:space="preserve"> </w:t>
      </w:r>
      <w:hyperlink r:id="rId23">
        <w:r>
          <w:rPr>
            <w:rStyle w:val="Hyperlink"/>
          </w:rPr>
          <w:t xml:space="preserve">https://supabase.com/pricing</w:t>
        </w:r>
      </w:hyperlink>
    </w:p>
    <w:p>
      <w:pPr>
        <w:pStyle w:val="Compact"/>
        <w:numPr>
          <w:ilvl w:val="0"/>
          <w:numId w:val="1019"/>
        </w:numPr>
      </w:pPr>
      <w:r>
        <w:t xml:space="preserve">Render — HIPAA-enabled Workspaces:</w:t>
      </w:r>
      <w:r>
        <w:t xml:space="preserve"> </w:t>
      </w:r>
      <w:hyperlink r:id="rId24">
        <w:r>
          <w:rPr>
            <w:rStyle w:val="Hyperlink"/>
          </w:rPr>
          <w:t xml:space="preserve">https://render.com/blog/introducing-hipaa-enabled-workspaces</w:t>
        </w:r>
      </w:hyperlink>
    </w:p>
    <w:p>
      <w:pPr>
        <w:pStyle w:val="Compact"/>
        <w:numPr>
          <w:ilvl w:val="0"/>
          <w:numId w:val="1019"/>
        </w:numPr>
      </w:pPr>
      <w:r>
        <w:t xml:space="preserve">Render — Pricing (Scale plan):</w:t>
      </w:r>
      <w:r>
        <w:t xml:space="preserve"> </w:t>
      </w:r>
      <w:hyperlink r:id="rId25">
        <w:r>
          <w:rPr>
            <w:rStyle w:val="Hyperlink"/>
          </w:rPr>
          <w:t xml:space="preserve">https://render.com/blog/better-pricing-for-fast-growing-teams</w:t>
        </w:r>
      </w:hyperlink>
    </w:p>
    <w:p>
      <w:pPr>
        <w:pStyle w:val="Compact"/>
        <w:numPr>
          <w:ilvl w:val="0"/>
          <w:numId w:val="1019"/>
        </w:numPr>
      </w:pPr>
      <w:r>
        <w:t xml:space="preserve">Render — Dedicated / Static Outbound IPs:</w:t>
      </w:r>
      <w:r>
        <w:t xml:space="preserve"> </w:t>
      </w:r>
      <w:hyperlink r:id="rId26">
        <w:r>
          <w:rPr>
            <w:rStyle w:val="Hyperlink"/>
          </w:rPr>
          <w:t xml:space="preserve">https://render.com/docs/dedicated-ips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render.com/blog/better-pricing-for-fast-growing-teams" TargetMode="External" /><Relationship Type="http://schemas.openxmlformats.org/officeDocument/2006/relationships/hyperlink" Id="rId24" Target="https://render.com/blog/introducing-hipaa-enabled-workspaces" TargetMode="External" /><Relationship Type="http://schemas.openxmlformats.org/officeDocument/2006/relationships/hyperlink" Id="rId26" Target="https://render.com/docs/dedicated-ips" TargetMode="External" /><Relationship Type="http://schemas.openxmlformats.org/officeDocument/2006/relationships/hyperlink" Id="rId22" Target="https://supabase.com/docs/guides/platform/hipaa-projects" TargetMode="External" /><Relationship Type="http://schemas.openxmlformats.org/officeDocument/2006/relationships/hyperlink" Id="rId21" Target="https://supabase.com/docs/guides/security/hipaa-compliance" TargetMode="External" /><Relationship Type="http://schemas.openxmlformats.org/officeDocument/2006/relationships/hyperlink" Id="rId23" Target="https://supabase.com/pric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render.com/blog/better-pricing-for-fast-growing-teams" TargetMode="External" /><Relationship Type="http://schemas.openxmlformats.org/officeDocument/2006/relationships/hyperlink" Id="rId24" Target="https://render.com/blog/introducing-hipaa-enabled-workspaces" TargetMode="External" /><Relationship Type="http://schemas.openxmlformats.org/officeDocument/2006/relationships/hyperlink" Id="rId26" Target="https://render.com/docs/dedicated-ips" TargetMode="External" /><Relationship Type="http://schemas.openxmlformats.org/officeDocument/2006/relationships/hyperlink" Id="rId22" Target="https://supabase.com/docs/guides/platform/hipaa-projects" TargetMode="External" /><Relationship Type="http://schemas.openxmlformats.org/officeDocument/2006/relationships/hyperlink" Id="rId21" Target="https://supabase.com/docs/guides/security/hipaa-compliance" TargetMode="External" /><Relationship Type="http://schemas.openxmlformats.org/officeDocument/2006/relationships/hyperlink" Id="rId23" Target="https://supabase.com/pric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2026-07-19T23:08:45Z</dcterms:created>
  <dcterms:modified xsi:type="dcterms:W3CDTF">2026-07-19T23:08:45Z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