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7A68"/>
          <w:spacing w:val="40"/>
          <w:sz w:val="20"/>
          <w:szCs w:val="20"/>
        </w:rPr>
        <w:t xml:space="preserve">PRIMOVEX</w:t>
      </w:r>
    </w:p>
    <w:p>
      <w:pPr>
        <w:spacing w:after="80"/>
      </w:pPr>
      <w:r>
        <w:rPr>
          <w:rFonts w:ascii="Calibri" w:cs="Calibri" w:eastAsia="Calibri" w:hAnsi="Calibri"/>
          <w:b/>
          <w:bCs/>
          <w:color w:val="12324F"/>
          <w:sz w:val="44"/>
          <w:szCs w:val="44"/>
        </w:rPr>
        <w:t xml:space="preserve">Security Review and Penetration Test Report</w:t>
      </w:r>
    </w:p>
    <w:p>
      <w:pPr>
        <w:pBdr>
          <w:bottom w:val="single" w:color="0E7A68" w:sz="8" w:space="8"/>
        </w:pBdr>
        <w:spacing w:after="240"/>
      </w:pPr>
      <w:r>
        <w:rPr>
          <w:rFonts w:ascii="Calibri" w:cs="Calibri" w:eastAsia="Calibri" w:hAnsi="Calibri"/>
          <w:color w:val="5B6772"/>
          <w:sz w:val="24"/>
          <w:szCs w:val="24"/>
        </w:rPr>
        <w:t xml:space="preserve">Supporting document for the Data Protection Impact Assessment (DPIA)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F2933"/>
                <w:sz w:val="19"/>
                <w:szCs w:val="19"/>
              </w:rPr>
              <w:t xml:space="preserve">Document status</w:t>
            </w:r>
          </w:p>
        </w:tc>
        <w:tc>
          <w:tcPr>
            <w:tcW w:type="dxa" w:w="7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9"/>
                <w:szCs w:val="19"/>
              </w:rPr>
              <w:t xml:space="preserve">Draft for review by the practice's DPO / Caldicott Guardian and IG team</w:t>
            </w:r>
          </w:p>
        </w:tc>
      </w:tr>
      <w:tr>
        <w:trPr>
          <w:cantSplit/>
        </w:trPr>
        <w:tc>
          <w:tcPr>
            <w:tcW w:type="dxa" w:w="250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F2933"/>
                <w:sz w:val="19"/>
                <w:szCs w:val="19"/>
              </w:rPr>
              <w:t xml:space="preserve">Application</w:t>
            </w:r>
          </w:p>
        </w:tc>
        <w:tc>
          <w:tcPr>
            <w:tcW w:type="dxa" w:w="7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9"/>
                <w:szCs w:val="19"/>
              </w:rPr>
              <w:t xml:space="preserve">Primovex v0.15.41 (Windows desktop app and Android app), Firebase project medtrak-b1cad</w:t>
            </w:r>
          </w:p>
        </w:tc>
      </w:tr>
      <w:tr>
        <w:trPr>
          <w:cantSplit/>
        </w:trPr>
        <w:tc>
          <w:tcPr>
            <w:tcW w:type="dxa" w:w="250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F2933"/>
                <w:sz w:val="19"/>
                <w:szCs w:val="19"/>
              </w:rPr>
              <w:t xml:space="preserve">Review dates</w:t>
            </w:r>
          </w:p>
        </w:tc>
        <w:tc>
          <w:tcPr>
            <w:tcW w:type="dxa" w:w="7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9"/>
                <w:szCs w:val="19"/>
              </w:rPr>
              <w:t xml:space="preserve">Access-control audit 16-17 September 2026. Main security review and active test 18 September 2026. Attack suite re-run against the current rules, and dependencies re-checked, on 21 September 2026.</w:t>
            </w:r>
          </w:p>
        </w:tc>
      </w:tr>
      <w:tr>
        <w:trPr>
          <w:cantSplit/>
        </w:trPr>
        <w:tc>
          <w:tcPr>
            <w:tcW w:type="dxa" w:w="250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F2933"/>
                <w:sz w:val="19"/>
                <w:szCs w:val="19"/>
              </w:rPr>
              <w:t xml:space="preserve">Code reference</w:t>
            </w:r>
          </w:p>
        </w:tc>
        <w:tc>
          <w:tcPr>
            <w:tcW w:type="dxa" w:w="7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9"/>
                <w:szCs w:val="19"/>
              </w:rPr>
              <w:t xml:space="preserve">Repository commit 9a7a95cc (main), 21 September 2026. Fix commits are listed against each finding.</w:t>
            </w:r>
          </w:p>
        </w:tc>
      </w:tr>
      <w:tr>
        <w:trPr>
          <w:cantSplit/>
        </w:trPr>
        <w:tc>
          <w:tcPr>
            <w:tcW w:type="dxa" w:w="250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F2933"/>
                <w:sz w:val="19"/>
                <w:szCs w:val="19"/>
              </w:rPr>
              <w:t xml:space="preserve">Prepared by</w:t>
            </w:r>
          </w:p>
        </w:tc>
        <w:tc>
          <w:tcPr>
            <w:tcW w:type="dxa" w:w="7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9"/>
                <w:szCs w:val="19"/>
              </w:rPr>
              <w:t xml:space="preserve">Claude (an AI assistant made by Anthropic), working with the Primovex developer inside the Primovex codebase. See section 1 for what that means for how far this report can be relied on.</w:t>
            </w:r>
          </w:p>
        </w:tc>
      </w:tr>
      <w:tr>
        <w:trPr>
          <w:cantSplit/>
        </w:trPr>
        <w:tc>
          <w:tcPr>
            <w:tcW w:type="dxa" w:w="250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F2933"/>
                <w:sz w:val="19"/>
                <w:szCs w:val="19"/>
              </w:rPr>
              <w:t xml:space="preserve">Companion documents</w:t>
            </w:r>
          </w:p>
        </w:tc>
        <w:tc>
          <w:tcPr>
            <w:tcW w:type="dxa" w:w="7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9"/>
                <w:szCs w:val="19"/>
              </w:rPr>
              <w:t xml:space="preserve">Primovex DPIA Draft, Primovex DPIA Technical Input, Primovex Data-Sharing Map, and the Access Control Audit.</w:t>
            </w:r>
          </w:p>
        </w:tc>
      </w:tr>
    </w:tbl>
    <w:p>
      <w:pPr>
        <w:spacing w:after="100"/>
      </w:pPr>
    </w:p>
    <w:p>
      <w:pPr>
        <w:pStyle w:val="Heading1"/>
        <w:keepNext/>
        <w:spacing w:after="140" w:before="360"/>
      </w:pPr>
      <w:r>
        <w:rPr>
          <w:rFonts w:ascii="Calibri" w:cs="Calibri" w:eastAsia="Calibri" w:hAnsi="Calibri"/>
          <w:b/>
          <w:bCs/>
          <w:color w:val="12324F"/>
          <w:sz w:val="30"/>
          <w:szCs w:val="30"/>
        </w:rPr>
        <w:t xml:space="preserve">1. Read this first: what this review is, and is not</w:t>
      </w:r>
    </w:p>
    <w:p>
      <w:pPr>
        <w:spacing w:after="120" w:line="288"/>
      </w:pPr>
      <w:r>
        <w:rPr>
          <w:color w:val="1F2933"/>
          <w:sz w:val="21"/>
          <w:szCs w:val="21"/>
        </w:rPr>
        <w:t xml:space="preserve">This is an </w:t>
      </w:r>
      <w:r>
        <w:rPr>
          <w:b/>
          <w:bCs/>
          <w:color w:val="1F2933"/>
          <w:sz w:val="21"/>
          <w:szCs w:val="21"/>
        </w:rPr>
        <w:t xml:space="preserve">internal, AI-assisted security review and penetration test</w:t>
      </w:r>
      <w:r>
        <w:rPr>
          <w:color w:val="1F2933"/>
          <w:sz w:val="21"/>
          <w:szCs w:val="21"/>
        </w:rPr>
        <w:t xml:space="preserve">. It was carried out by an AI assistant working directly with the developer, using the source code and a local test copy of the database rules. It found real problems, most of which were fixed the same day, and it is useful evidence of the security work done. It is </w:t>
      </w:r>
      <w:r>
        <w:rPr>
          <w:b/>
          <w:bCs/>
          <w:color w:val="1F2933"/>
          <w:sz w:val="21"/>
          <w:szCs w:val="21"/>
        </w:rPr>
        <w:t xml:space="preserve">not</w:t>
      </w:r>
      <w:r>
        <w:rPr>
          <w:color w:val="1F2933"/>
          <w:sz w:val="21"/>
          <w:szCs w:val="21"/>
        </w:rPr>
        <w:t xml:space="preserve"> an independent or accredited penetration test (for example CREST or CHECK), and it should not be presented as one.</w:t>
      </w:r>
    </w:p>
    <w:p>
      <w:pPr>
        <w:keepNext/>
        <w:spacing w:after="120" w:line="288"/>
      </w:pPr>
      <w:r>
        <w:rPr>
          <w:color w:val="1F2933"/>
          <w:sz w:val="21"/>
          <w:szCs w:val="21"/>
        </w:rPr>
        <w:t xml:space="preserve">What that means in practice:</w:t>
      </w:r>
    </w:p>
    <w:p>
      <w:pPr>
        <w:pStyle w:val="ListParagraph"/>
        <w:numPr>
          <w:ilvl w:val="0"/>
          <w:numId w:val="2"/>
        </w:numPr>
        <w:spacing w:after="70" w:line="276"/>
      </w:pPr>
      <w:r>
        <w:rPr>
          <w:color w:val="1F2933"/>
          <w:sz w:val="21"/>
          <w:szCs w:val="21"/>
        </w:rPr>
        <w:t xml:space="preserve">The active attack testing ran against a </w:t>
      </w:r>
      <w:r>
        <w:rPr>
          <w:b/>
          <w:bCs/>
          <w:color w:val="1F2933"/>
          <w:sz w:val="21"/>
          <w:szCs w:val="21"/>
        </w:rPr>
        <w:t xml:space="preserve">local Firestore emulator loaded with the real access-rules file</w:t>
      </w:r>
      <w:r>
        <w:rPr>
          <w:color w:val="1F2933"/>
          <w:sz w:val="21"/>
          <w:szCs w:val="21"/>
        </w:rPr>
        <w:t xml:space="preserve"> (</w:t>
      </w:r>
      <w:r>
        <w:rPr>
          <w:rFonts w:ascii="Consolas" w:cs="Consolas" w:eastAsia="Consolas" w:hAnsi="Consolas"/>
          <w:color w:val="1F2933"/>
          <w:sz w:val="19"/>
          <w:szCs w:val="19"/>
        </w:rPr>
        <w:t xml:space="preserve">firestore.rules</w:t>
      </w:r>
      <w:r>
        <w:rPr>
          <w:color w:val="1F2933"/>
          <w:sz w:val="21"/>
          <w:szCs w:val="21"/>
        </w:rPr>
        <w:t xml:space="preserve">), using simulated user identities. No production data was touched, and no test traffic was sent to the live system.</w:t>
      </w:r>
    </w:p>
    <w:p>
      <w:pPr>
        <w:pStyle w:val="ListParagraph"/>
        <w:numPr>
          <w:ilvl w:val="0"/>
          <w:numId w:val="2"/>
        </w:numPr>
        <w:spacing w:after="70" w:line="276"/>
      </w:pPr>
      <w:r>
        <w:rPr>
          <w:color w:val="1F2933"/>
          <w:sz w:val="21"/>
          <w:szCs w:val="21"/>
        </w:rPr>
        <w:t xml:space="preserve">It tests the </w:t>
      </w:r>
      <w:r>
        <w:rPr>
          <w:b/>
          <w:bCs/>
          <w:color w:val="1F2933"/>
          <w:sz w:val="21"/>
          <w:szCs w:val="21"/>
        </w:rPr>
        <w:t xml:space="preserve">database access rules</w:t>
      </w:r>
      <w:r>
        <w:rPr>
          <w:color w:val="1F2933"/>
          <w:sz w:val="21"/>
          <w:szCs w:val="21"/>
        </w:rPr>
        <w:t xml:space="preserve">, which are the main barrier between one user and another user's data. It does not test Google's infrastructure, Firebase Authentication itself, the network, or the devices the app runs on.</w:t>
      </w:r>
    </w:p>
    <w:p>
      <w:pPr>
        <w:pStyle w:val="ListParagraph"/>
        <w:numPr>
          <w:ilvl w:val="0"/>
          <w:numId w:val="2"/>
        </w:numPr>
        <w:spacing w:after="70" w:line="276"/>
      </w:pPr>
      <w:r>
        <w:rPr>
          <w:color w:val="1F2933"/>
          <w:sz w:val="21"/>
          <w:szCs w:val="21"/>
        </w:rPr>
        <w:t xml:space="preserve">The Cloud Functions were reviewed by reading the source and the fixes were deployed. They were not attacked live.</w:t>
      </w:r>
    </w:p>
    <w:p>
      <w:pPr>
        <w:pStyle w:val="ListParagraph"/>
        <w:numPr>
          <w:ilvl w:val="0"/>
          <w:numId w:val="2"/>
        </w:numPr>
        <w:spacing w:after="70" w:line="276"/>
      </w:pPr>
      <w:r>
        <w:rPr>
          <w:color w:val="1F2933"/>
          <w:sz w:val="21"/>
          <w:szCs w:val="21"/>
        </w:rPr>
        <w:t xml:space="preserve">Not covered: network and infrastructure scanning, denial of service, social engineering, physical access, Windows or Android operating-system hardening, and any assessment of Google Cloud or the third-party services Primovex connects to.</w:t>
      </w:r>
    </w:p>
    <w:p>
      <w:pPr>
        <w:pStyle w:val="ListParagraph"/>
        <w:numPr>
          <w:ilvl w:val="0"/>
          <w:numId w:val="2"/>
        </w:numPr>
        <w:spacing w:after="70" w:line="276"/>
      </w:pPr>
      <w:r>
        <w:rPr>
          <w:color w:val="1F2933"/>
          <w:sz w:val="21"/>
          <w:szCs w:val="21"/>
        </w:rPr>
        <w:t xml:space="preserve">Severity ratings in this report are the reviewer's judgement, not a formal scoring scheme.</w:t>
      </w:r>
    </w:p>
    <w:p>
      <w:pPr>
        <w:spacing w:after="120" w:line="288"/>
      </w:pPr>
      <w:r>
        <w:rPr>
          <w:color w:val="1F2933"/>
          <w:sz w:val="21"/>
          <w:szCs w:val="21"/>
        </w:rPr>
        <w:t xml:space="preserve">If the practice's IG team or the health board requires independent assurance, the recommendation in section 8 is to commission an accredited test, scoped in proportion to the risk, alongside or after DPIA sign-off. This report should make that test quicker and cheaper by showing what has already been checked.</w:t>
      </w:r>
    </w:p>
    <w:p>
      <w:pPr>
        <w:pStyle w:val="Heading1"/>
        <w:keepNext/>
        <w:spacing w:after="140" w:before="360"/>
      </w:pPr>
      <w:r>
        <w:rPr>
          <w:rFonts w:ascii="Calibri" w:cs="Calibri" w:eastAsia="Calibri" w:hAnsi="Calibri"/>
          <w:b/>
          <w:bCs/>
          <w:color w:val="12324F"/>
          <w:sz w:val="30"/>
          <w:szCs w:val="30"/>
        </w:rPr>
        <w:t xml:space="preserve">2. Summary of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Area</w:t>
            </w:r>
          </w:p>
        </w:tc>
        <w:tc>
          <w:tcPr>
            <w:tcW w:type="dxa" w:w="6538"/>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Result</w:t>
            </w:r>
          </w:p>
        </w:tc>
      </w:tr>
      <w:tr>
        <w:trPr>
          <w:cantSplit/>
        </w:trPr>
        <w:tc>
          <w:tcPr>
            <w:tcW w:type="dxa" w:w="3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Access-control audit (16-17 Sep)</w:t>
            </w:r>
          </w:p>
        </w:tc>
        <w:tc>
          <w:tcPr>
            <w:tcW w:type="dxa" w:w="65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14 gaps found between what each role should be able to reach and what the app enforced: 5 critical, 7 high, 2 architecture debt. Route guards, database rules and mobile access were brought into line (section 4). A small number of low-sensitivity items remain (section 8).</w:t>
            </w:r>
          </w:p>
        </w:tc>
      </w:tr>
      <w:tr>
        <w:trPr>
          <w:cantSplit/>
        </w:trPr>
        <w:tc>
          <w:tcPr>
            <w:tcW w:type="dxa" w:w="3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Security review (18 Sep)</w:t>
            </w:r>
          </w:p>
        </w:tc>
        <w:tc>
          <w:tcPr>
            <w:tcW w:type="dxa" w:w="65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13 findings recorded: 6 rated High, 4 Medium, 2 Low and 1 informational. 11 are fully fixed and deployed or shipped. One (dependencies) is fixed apart from a single advisory that needs a larger upgrade. One informational item is accepted by design and should be confirmed by the practice (section 5).</w:t>
            </w:r>
          </w:p>
        </w:tc>
      </w:tr>
      <w:tr>
        <w:trPr>
          <w:cantSplit/>
        </w:trPr>
        <w:tc>
          <w:tcPr>
            <w:tcW w:type="dxa" w:w="3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Active attack testing</w:t>
            </w:r>
          </w:p>
        </w:tc>
        <w:tc>
          <w:tcPr>
            <w:tcW w:type="dxa" w:w="65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25 attack scenarios on 18 Sep, all passing after fixes. The suite has since grown as new features were added: </w:t>
            </w:r>
            <w:r>
              <w:rPr>
                <w:b/>
                <w:bCs/>
                <w:color w:val="1F2933"/>
                <w:sz w:val="18"/>
                <w:szCs w:val="18"/>
              </w:rPr>
              <w:t xml:space="preserve">63 of 63 checks pass</w:t>
            </w:r>
            <w:r>
              <w:rPr>
                <w:color w:val="1F2933"/>
                <w:sz w:val="18"/>
                <w:szCs w:val="18"/>
              </w:rPr>
              <w:t xml:space="preserve"> against the current rules (re-run 21 Sep 2026).</w:t>
            </w:r>
          </w:p>
        </w:tc>
      </w:tr>
      <w:tr>
        <w:trPr>
          <w:cantSplit/>
        </w:trPr>
        <w:tc>
          <w:tcPr>
            <w:tcW w:type="dxa" w:w="3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Dependency vulnerabilities</w:t>
            </w:r>
          </w:p>
        </w:tc>
        <w:tc>
          <w:tcPr>
            <w:tcW w:type="dxa" w:w="65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10 known vulnerabilities fixed on 18 Sep (1 high, 9 moderate). Re-checked 21 Sep: the Cloud Functions have none; the app has 2 moderate advisories, both the same </w:t>
            </w:r>
            <w:r>
              <w:rPr>
                <w:rFonts w:ascii="Consolas" w:cs="Consolas" w:eastAsia="Consolas" w:hAnsi="Consolas"/>
                <w:color w:val="1F2933"/>
                <w:sz w:val="16"/>
                <w:szCs w:val="16"/>
              </w:rPr>
              <w:t xml:space="preserve">react-router</w:t>
            </w:r>
            <w:r>
              <w:rPr>
                <w:color w:val="1F2933"/>
                <w:sz w:val="18"/>
                <w:szCs w:val="18"/>
              </w:rPr>
              <w:t xml:space="preserve"> issue, deferred to a tested upgrade (section 8).</w:t>
            </w:r>
          </w:p>
        </w:tc>
      </w:tr>
      <w:tr>
        <w:trPr>
          <w:cantSplit/>
        </w:trPr>
        <w:tc>
          <w:tcPr>
            <w:tcW w:type="dxa" w:w="3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Defence-in-depth added</w:t>
            </w:r>
          </w:p>
        </w:tc>
        <w:tc>
          <w:tcPr>
            <w:tcW w:type="dxa" w:w="65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Content-Security-Policy on the desktop app, salted and slowed PIN storage, closed self-registration, QR codes generated on the device (no third-party request), delete protection and point-in-time recovery on the database.</w:t>
            </w:r>
          </w:p>
        </w:tc>
      </w:tr>
    </w:tbl>
    <w:p>
      <w:pPr>
        <w:spacing w:after="100"/>
      </w:pPr>
    </w:p>
    <w:p>
      <w:pPr>
        <w:pStyle w:val="Heading1"/>
        <w:keepNext/>
        <w:spacing w:after="140" w:before="360"/>
      </w:pPr>
      <w:r>
        <w:rPr>
          <w:rFonts w:ascii="Calibri" w:cs="Calibri" w:eastAsia="Calibri" w:hAnsi="Calibri"/>
          <w:b/>
          <w:bCs/>
          <w:color w:val="12324F"/>
          <w:sz w:val="30"/>
          <w:szCs w:val="30"/>
        </w:rPr>
        <w:t xml:space="preserve">3. Scope and method</w:t>
      </w:r>
    </w:p>
    <w:p>
      <w:pPr>
        <w:pStyle w:val="Heading2"/>
        <w:keepNext/>
        <w:spacing w:after="100" w:before="240"/>
      </w:pPr>
      <w:r>
        <w:rPr>
          <w:rFonts w:ascii="Calibri" w:cs="Calibri" w:eastAsia="Calibri" w:hAnsi="Calibri"/>
          <w:b/>
          <w:bCs/>
          <w:color w:val="12324F"/>
          <w:sz w:val="24"/>
          <w:szCs w:val="24"/>
        </w:rPr>
        <w:t xml:space="preserve">3.1 Static review</w:t>
      </w:r>
    </w:p>
    <w:p>
      <w:pPr>
        <w:keepNext/>
        <w:spacing w:after="120" w:line="288"/>
      </w:pPr>
      <w:r>
        <w:rPr>
          <w:color w:val="1F2933"/>
          <w:sz w:val="21"/>
          <w:szCs w:val="21"/>
        </w:rPr>
        <w:t xml:space="preserve">The source code was read for weaknesses in these areas:</w:t>
      </w:r>
    </w:p>
    <w:p>
      <w:pPr>
        <w:pStyle w:val="ListParagraph"/>
        <w:numPr>
          <w:ilvl w:val="0"/>
          <w:numId w:val="2"/>
        </w:numPr>
        <w:spacing w:after="70" w:line="276"/>
      </w:pPr>
      <w:r>
        <w:rPr>
          <w:color w:val="1F2933"/>
          <w:sz w:val="21"/>
          <w:szCs w:val="21"/>
        </w:rPr>
        <w:t xml:space="preserve">Firestore security rules (who can read and write each collection).</w:t>
      </w:r>
    </w:p>
    <w:p>
      <w:pPr>
        <w:pStyle w:val="ListParagraph"/>
        <w:numPr>
          <w:ilvl w:val="0"/>
          <w:numId w:val="2"/>
        </w:numPr>
        <w:spacing w:after="70" w:line="276"/>
      </w:pPr>
      <w:r>
        <w:rPr>
          <w:color w:val="1F2933"/>
          <w:sz w:val="21"/>
          <w:szCs w:val="21"/>
        </w:rPr>
        <w:t xml:space="preserve">Cloud Functions (the server-side code that runs with administrator power and bypasses the rules).</w:t>
      </w:r>
    </w:p>
    <w:p>
      <w:pPr>
        <w:pStyle w:val="ListParagraph"/>
        <w:numPr>
          <w:ilvl w:val="0"/>
          <w:numId w:val="2"/>
        </w:numPr>
        <w:spacing w:after="70" w:line="276"/>
      </w:pPr>
      <w:r>
        <w:rPr>
          <w:color w:val="1F2933"/>
          <w:sz w:val="21"/>
          <w:szCs w:val="21"/>
        </w:rPr>
        <w:t xml:space="preserve">Client-side code: cross-site scripting (XSS) in printing and rendering, and secrets held in the app.</w:t>
      </w:r>
    </w:p>
    <w:p>
      <w:pPr>
        <w:pStyle w:val="ListParagraph"/>
        <w:numPr>
          <w:ilvl w:val="0"/>
          <w:numId w:val="2"/>
        </w:numPr>
        <w:spacing w:after="70" w:line="276"/>
      </w:pPr>
      <w:r>
        <w:rPr>
          <w:color w:val="1F2933"/>
          <w:sz w:val="21"/>
          <w:szCs w:val="21"/>
        </w:rPr>
        <w:t xml:space="preserve">Session and idle-lock handling, including how the lock PIN is stored.</w:t>
      </w:r>
    </w:p>
    <w:p>
      <w:pPr>
        <w:pStyle w:val="ListParagraph"/>
        <w:numPr>
          <w:ilvl w:val="0"/>
          <w:numId w:val="2"/>
        </w:numPr>
        <w:spacing w:after="70" w:line="276"/>
      </w:pPr>
      <w:r>
        <w:rPr>
          <w:color w:val="1F2933"/>
          <w:sz w:val="21"/>
          <w:szCs w:val="21"/>
        </w:rPr>
        <w:t xml:space="preserve">Desktop app hardening (Tauri configuration, Content-Security-Policy).</w:t>
      </w:r>
    </w:p>
    <w:p>
      <w:pPr>
        <w:pStyle w:val="ListParagraph"/>
        <w:numPr>
          <w:ilvl w:val="0"/>
          <w:numId w:val="2"/>
        </w:numPr>
        <w:spacing w:after="70" w:line="276"/>
      </w:pPr>
      <w:r>
        <w:rPr>
          <w:color w:val="1F2933"/>
          <w:sz w:val="21"/>
          <w:szCs w:val="21"/>
        </w:rPr>
        <w:t xml:space="preserve">Third-party dependencies (</w:t>
      </w:r>
      <w:r>
        <w:rPr>
          <w:rFonts w:ascii="Consolas" w:cs="Consolas" w:eastAsia="Consolas" w:hAnsi="Consolas"/>
          <w:color w:val="1F2933"/>
          <w:sz w:val="19"/>
          <w:szCs w:val="19"/>
        </w:rPr>
        <w:t xml:space="preserve">npm audit</w:t>
      </w:r>
      <w:r>
        <w:rPr>
          <w:color w:val="1F2933"/>
          <w:sz w:val="21"/>
          <w:szCs w:val="21"/>
        </w:rPr>
        <w:t xml:space="preserve"> on the app and on the Cloud Functions).</w:t>
      </w:r>
    </w:p>
    <w:p>
      <w:pPr>
        <w:pStyle w:val="ListParagraph"/>
        <w:numPr>
          <w:ilvl w:val="0"/>
          <w:numId w:val="2"/>
        </w:numPr>
        <w:spacing w:after="70" w:line="276"/>
      </w:pPr>
      <w:r>
        <w:rPr>
          <w:color w:val="1F2933"/>
          <w:sz w:val="21"/>
          <w:szCs w:val="21"/>
        </w:rPr>
        <w:t xml:space="preserve">Role and capability enforcement across every page, tab and route (the access-control audit).</w:t>
      </w:r>
    </w:p>
    <w:p>
      <w:pPr>
        <w:pStyle w:val="Heading2"/>
        <w:keepNext/>
        <w:spacing w:after="100" w:before="240"/>
      </w:pPr>
      <w:r>
        <w:rPr>
          <w:rFonts w:ascii="Calibri" w:cs="Calibri" w:eastAsia="Calibri" w:hAnsi="Calibri"/>
          <w:b/>
          <w:bCs/>
          <w:color w:val="12324F"/>
          <w:sz w:val="24"/>
          <w:szCs w:val="24"/>
        </w:rPr>
        <w:t xml:space="preserve">3.2 Active penetration test of the access rules</w:t>
      </w:r>
    </w:p>
    <w:p>
      <w:pPr>
        <w:spacing w:after="120" w:line="288"/>
      </w:pPr>
      <w:r>
        <w:rPr>
          <w:color w:val="1F2933"/>
          <w:sz w:val="21"/>
          <w:szCs w:val="21"/>
        </w:rPr>
        <w:t xml:space="preserve">A local Firebase emulator was started with the real </w:t>
      </w:r>
      <w:r>
        <w:rPr>
          <w:rFonts w:ascii="Consolas" w:cs="Consolas" w:eastAsia="Consolas" w:hAnsi="Consolas"/>
          <w:color w:val="1F2933"/>
          <w:sz w:val="19"/>
          <w:szCs w:val="19"/>
        </w:rPr>
        <w:t xml:space="preserve">firestore.rules</w:t>
      </w:r>
      <w:r>
        <w:rPr>
          <w:color w:val="1F2933"/>
          <w:sz w:val="21"/>
          <w:szCs w:val="21"/>
        </w:rPr>
        <w:t xml:space="preserve"> file. Test identities were created for each kind of user: System Admin, Practice Manager, an ordinary User, ReadOnly, Partner, Reception, a custom role with SAR access, a custom IT role, an unauthenticated visitor, and a stranger with a fresh account. Each test then tried something the rules should refuse (or, equally important, something they should still allow). A check passes only when the rules behave as intended.</w:t>
      </w:r>
    </w:p>
    <w:p>
      <w:pPr>
        <w:spacing w:after="120" w:line="288"/>
      </w:pPr>
      <w:r>
        <w:rPr>
          <w:color w:val="1F2933"/>
          <w:sz w:val="21"/>
          <w:szCs w:val="21"/>
        </w:rPr>
        <w:t xml:space="preserve">The suite tries, among other things: giving yourself extra permissions, changing your own role, reading or editing records you have no relationship to, claiming someone else's invitation, creating a profile without being an administrator, reading data while signed out, crossing between sites, and using a custom role that holds an administrator-looking capability. The full list of 63 checks is in Appendix A.</w:t>
      </w:r>
    </w:p>
    <w:p>
      <w:pPr>
        <w:spacing w:after="120" w:line="288"/>
      </w:pPr>
      <w:r>
        <w:rPr>
          <w:color w:val="1F2933"/>
          <w:sz w:val="21"/>
          <w:szCs w:val="21"/>
        </w:rPr>
        <w:t xml:space="preserve">All identities and records were synthetic. Nothing in the tests contains real patient, staff or complainant data.</w:t>
      </w:r>
    </w:p>
    <w:p>
      <w:pPr>
        <w:pStyle w:val="Heading1"/>
        <w:keepNext/>
        <w:spacing w:after="140" w:before="360"/>
      </w:pPr>
      <w:r>
        <w:rPr>
          <w:rFonts w:ascii="Calibri" w:cs="Calibri" w:eastAsia="Calibri" w:hAnsi="Calibri"/>
          <w:b/>
          <w:bCs/>
          <w:color w:val="12324F"/>
          <w:sz w:val="30"/>
          <w:szCs w:val="30"/>
        </w:rPr>
        <w:t xml:space="preserve">4. Access-control audit and its remediation</w:t>
      </w:r>
    </w:p>
    <w:p>
      <w:pPr>
        <w:spacing w:after="120" w:line="288"/>
      </w:pPr>
      <w:r>
        <w:rPr>
          <w:color w:val="1F2933"/>
          <w:sz w:val="21"/>
          <w:szCs w:val="21"/>
        </w:rPr>
        <w:t xml:space="preserve">On 16 September 2026 every page, tab and route was compared with the role-and-capability model. The model itself was sound. The gap was that the router and many pages did not enforce it. The sidebar hid links, but a signed-in user could still open the address directly. The full audit is a separate document (Access Control Audit); this table records what was found and what was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cantSplit/>
          <w:tblHeader/>
        </w:trPr>
        <w:tc>
          <w:tcPr>
            <w:tcW w:type="dxa" w:w="300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What the audit found</w:t>
            </w:r>
          </w:p>
        </w:tc>
        <w:tc>
          <w:tcPr>
            <w:tcW w:type="dxa" w:w="330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What was done</w:t>
            </w:r>
          </w:p>
        </w:tc>
        <w:tc>
          <w:tcPr>
            <w:tcW w:type="dxa" w:w="3338"/>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Position now</w:t>
            </w:r>
          </w:p>
        </w:tc>
      </w:tr>
      <w:tr>
        <w:trPr>
          <w:cantSplit/>
        </w:trPr>
        <w:tc>
          <w:tcPr>
            <w:tcW w:type="dxa" w:w="3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8"/>
                <w:szCs w:val="18"/>
              </w:rPr>
              <w:t xml:space="preserve">Critical (5).</w:t>
            </w:r>
            <w:r>
              <w:rPr>
                <w:color w:val="1F2933"/>
                <w:sz w:val="18"/>
                <w:szCs w:val="18"/>
              </w:rPr>
              <w:t xml:space="preserve"> Sites and Locations editor writable by any signed-in user; SAR records with no capability check; Roles and Permissions tab open to all; Danger Zone (bulk delete) reachable by all; </w:t>
            </w:r>
            <w:r>
              <w:rPr>
                <w:rFonts w:ascii="Consolas" w:cs="Consolas" w:eastAsia="Consolas" w:hAnsi="Consolas"/>
                <w:color w:val="1F2933"/>
                <w:sz w:val="16"/>
                <w:szCs w:val="16"/>
              </w:rPr>
              <w:t xml:space="preserve">mobile.access</w:t>
            </w:r>
            <w:r>
              <w:rPr>
                <w:color w:val="1F2933"/>
                <w:sz w:val="18"/>
                <w:szCs w:val="18"/>
              </w:rPr>
              <w:t xml:space="preserve"> never enforced.</w:t>
            </w:r>
          </w:p>
        </w:tc>
        <w:tc>
          <w:tcPr>
            <w:tcW w:type="dxa" w:w="33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Admin section wrapped in an </w:t>
            </w:r>
            <w:r>
              <w:rPr>
                <w:rFonts w:ascii="Consolas" w:cs="Consolas" w:eastAsia="Consolas" w:hAnsi="Consolas"/>
                <w:color w:val="1F2933"/>
                <w:sz w:val="16"/>
                <w:szCs w:val="16"/>
              </w:rPr>
              <w:t xml:space="preserve">admin.access</w:t>
            </w:r>
            <w:r>
              <w:rPr>
                <w:color w:val="1F2933"/>
                <w:sz w:val="18"/>
                <w:szCs w:val="18"/>
              </w:rPr>
              <w:t xml:space="preserve"> route guard. SAR and Concerns access moved into the database rules by capability. </w:t>
            </w:r>
            <w:r>
              <w:rPr>
                <w:rFonts w:ascii="Consolas" w:cs="Consolas" w:eastAsia="Consolas" w:hAnsi="Consolas"/>
                <w:color w:val="1F2933"/>
                <w:sz w:val="16"/>
                <w:szCs w:val="16"/>
              </w:rPr>
              <w:t xml:space="preserve">mobile.access</w:t>
            </w:r>
            <w:r>
              <w:rPr>
                <w:color w:val="1F2933"/>
                <w:sz w:val="18"/>
                <w:szCs w:val="18"/>
              </w:rPr>
              <w:t xml:space="preserve"> now checked at app entry.</w:t>
            </w:r>
          </w:p>
        </w:tc>
        <w:tc>
          <w:tcPr>
            <w:tcW w:type="dxa" w:w="33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8"/>
                <w:szCs w:val="18"/>
              </w:rPr>
              <w:t xml:space="preserve">Fixed and deployed. Verified by the attack suite (sections 1 to 4 of Appendix A).</w:t>
            </w:r>
          </w:p>
        </w:tc>
      </w:tr>
      <w:tr>
        <w:trPr>
          <w:cantSplit/>
        </w:trPr>
        <w:tc>
          <w:tcPr>
            <w:tcW w:type="dxa" w:w="3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8"/>
                <w:szCs w:val="18"/>
              </w:rPr>
              <w:t xml:space="preserve">High (7).</w:t>
            </w:r>
            <w:r>
              <w:rPr>
                <w:color w:val="1F2933"/>
                <w:sz w:val="18"/>
                <w:szCs w:val="18"/>
              </w:rPr>
              <w:t xml:space="preserve"> Reports, Security Centre, Purchasing / Suppliers / Reorder Centre, Compliance, Theme Lab, Concerns page and three Admin tabs had no page-level gate.</w:t>
            </w:r>
          </w:p>
        </w:tc>
        <w:tc>
          <w:tcPr>
            <w:tcW w:type="dxa" w:w="33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Route guards added for Concerns, SARs, Temperature, Compliance, Connect, Facilities, Spaces and the whole Admin section (Reports and ClinFlow are also guarded today). </w:t>
            </w:r>
            <w:r>
              <w:rPr>
                <w:b/>
                <w:bCs/>
                <w:color w:val="1F2933"/>
                <w:sz w:val="18"/>
                <w:szCs w:val="18"/>
              </w:rPr>
              <w:t xml:space="preserve">Writes</w:t>
            </w:r>
            <w:r>
              <w:rPr>
                <w:color w:val="1F2933"/>
                <w:sz w:val="18"/>
                <w:szCs w:val="18"/>
              </w:rPr>
              <w:t xml:space="preserve"> to stock, purchasing, suppliers and temperature records now require the matching capability in the database rules, not just a signed-in user.</w:t>
            </w:r>
          </w:p>
        </w:tc>
        <w:tc>
          <w:tcPr>
            <w:tcW w:type="dxa" w:w="3338"/>
            <w:tcBorders>
              <w:top w:val="single" w:color="C9D1D8" w:sz="4"/>
              <w:left w:val="single" w:color="C9D1D8" w:sz="4"/>
              <w:bottom w:val="single" w:color="C9D1D8" w:sz="4"/>
              <w:right w:val="single" w:color="C9D1D8" w:sz="4"/>
            </w:tcBorders>
            <w:shd w:fill="FCEFC7" w:color="auto" w:val="clear"/>
            <w:tcMar>
              <w:top w:type="dxa" w:w="60"/>
              <w:left w:type="dxa" w:w="100"/>
              <w:bottom w:type="dxa" w:w="60"/>
              <w:right w:type="dxa" w:w="100"/>
            </w:tcMar>
          </w:tcPr>
          <w:p>
            <w:pPr>
              <w:spacing w:after="40" w:line="252"/>
            </w:pPr>
            <w:r>
              <w:rPr>
                <w:color w:val="1F2933"/>
                <w:sz w:val="18"/>
                <w:szCs w:val="18"/>
              </w:rPr>
              <w:t xml:space="preserve">Mostly fixed. Purchasing, Suppliers, Reorder Centre, Theme Lab and Security Centre can still be opened by any signed-in user; changes to their data are blocked by the rules. See section 8.</w:t>
            </w:r>
          </w:p>
        </w:tc>
      </w:tr>
      <w:tr>
        <w:trPr>
          <w:cantSplit/>
        </w:trPr>
        <w:tc>
          <w:tcPr>
            <w:tcW w:type="dxa" w:w="3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8"/>
                <w:szCs w:val="18"/>
              </w:rPr>
              <w:t xml:space="preserve">Architecture debt (2).</w:t>
            </w:r>
            <w:r>
              <w:rPr>
                <w:color w:val="1F2933"/>
                <w:sz w:val="18"/>
                <w:szCs w:val="18"/>
              </w:rPr>
              <w:t xml:space="preserve"> Alerts page runs its own sign-in check with a hard-coded role name; a mobile screen guesses admin status from the role label.</w:t>
            </w:r>
          </w:p>
        </w:tc>
        <w:tc>
          <w:tcPr>
            <w:tcW w:type="dxa" w:w="33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Not changed. Both are low risk and cosmetic; neither grants access to data.</w:t>
            </w:r>
          </w:p>
        </w:tc>
        <w:tc>
          <w:tcPr>
            <w:tcW w:type="dxa" w:w="3338"/>
            <w:tcBorders>
              <w:top w:val="single" w:color="C9D1D8" w:sz="4"/>
              <w:left w:val="single" w:color="C9D1D8" w:sz="4"/>
              <w:bottom w:val="single" w:color="C9D1D8" w:sz="4"/>
              <w:right w:val="single" w:color="C9D1D8" w:sz="4"/>
            </w:tcBorders>
            <w:shd w:fill="FCEFC7" w:color="auto" w:val="clear"/>
            <w:tcMar>
              <w:top w:type="dxa" w:w="60"/>
              <w:left w:type="dxa" w:w="100"/>
              <w:bottom w:type="dxa" w:w="60"/>
              <w:right w:type="dxa" w:w="100"/>
            </w:tcMar>
          </w:tcPr>
          <w:p>
            <w:pPr>
              <w:spacing w:after="40" w:line="252"/>
            </w:pPr>
            <w:r>
              <w:rPr>
                <w:color w:val="1F2933"/>
                <w:sz w:val="18"/>
                <w:szCs w:val="18"/>
              </w:rPr>
              <w:t xml:space="preserve">Open, low. See section 8.</w:t>
            </w:r>
          </w:p>
        </w:tc>
      </w:tr>
    </w:tbl>
    <w:p>
      <w:pPr>
        <w:spacing w:after="100" w:line="288"/>
      </w:pPr>
      <w:r>
        <w:rPr>
          <w:b/>
          <w:bCs/>
          <w:color w:val="1F2933"/>
          <w:sz w:val="21"/>
          <w:szCs w:val="21"/>
        </w:rPr>
        <w:t xml:space="preserve">Root cause.</w:t>
      </w:r>
      <w:r>
        <w:rPr>
          <w:color w:val="1F2933"/>
          <w:sz w:val="21"/>
          <w:szCs w:val="21"/>
        </w:rPr>
        <w:t xml:space="preserve"> The correct capability for each route was already recorded in a configuration file, but it was only used to decide whether to show a sidebar link. The remediation wired it into real guards. Database settings were also checked on 18 September: </w:t>
      </w:r>
      <w:r>
        <w:rPr>
          <w:b/>
          <w:bCs/>
          <w:color w:val="1F2933"/>
          <w:sz w:val="21"/>
          <w:szCs w:val="21"/>
        </w:rPr>
        <w:t xml:space="preserve">delete protection is on</w:t>
      </w:r>
      <w:r>
        <w:rPr>
          <w:color w:val="1F2933"/>
          <w:sz w:val="21"/>
          <w:szCs w:val="21"/>
        </w:rPr>
        <w:t xml:space="preserve">, and </w:t>
      </w:r>
      <w:r>
        <w:rPr>
          <w:b/>
          <w:bCs/>
          <w:color w:val="1F2933"/>
          <w:sz w:val="21"/>
          <w:szCs w:val="21"/>
        </w:rPr>
        <w:t xml:space="preserve">point-in-time recovery is on</w:t>
      </w:r>
      <w:r>
        <w:rPr>
          <w:color w:val="1F2933"/>
          <w:sz w:val="21"/>
          <w:szCs w:val="21"/>
        </w:rPr>
        <w:t xml:space="preserve"> (7-day rolling window).</w:t>
      </w:r>
    </w:p>
    <w:p>
      <w:pPr>
        <w:spacing w:after="100"/>
      </w:pPr>
    </w:p>
    <w:p>
      <w:pPr>
        <w:pStyle w:val="Heading1"/>
        <w:keepNext/>
        <w:spacing w:after="140" w:before="360"/>
      </w:pPr>
      <w:r>
        <w:rPr>
          <w:rFonts w:ascii="Calibri" w:cs="Calibri" w:eastAsia="Calibri" w:hAnsi="Calibri"/>
          <w:b/>
          <w:bCs/>
          <w:color w:val="12324F"/>
          <w:sz w:val="30"/>
          <w:szCs w:val="30"/>
        </w:rPr>
        <w:t xml:space="preserve">5. Security review findings (18 September 2026)</w:t>
      </w:r>
    </w:p>
    <w:p>
      <w:pPr>
        <w:spacing w:after="120" w:line="288"/>
      </w:pPr>
      <w:r>
        <w:rPr>
          <w:color w:val="1F2933"/>
          <w:sz w:val="21"/>
          <w:szCs w:val="21"/>
        </w:rPr>
        <w:t xml:space="preserve">Severity is the reviewer's judgement. "Fixed" means the change is in the code, verified, and deployed or shipped in the desktop and Android builds. Commit references are to the Primovex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050"/>
        <w:gridCol w:w="1250"/>
        <w:gridCol w:w="3138"/>
      </w:tblGrid>
      <w:tr>
        <w:trPr>
          <w:cantSplit/>
          <w:tblHeader/>
        </w:trPr>
        <w:tc>
          <w:tcPr>
            <w:tcW w:type="dxa" w:w="70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Ref</w:t>
            </w:r>
          </w:p>
        </w:tc>
        <w:tc>
          <w:tcPr>
            <w:tcW w:type="dxa" w:w="350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Finding</w:t>
            </w:r>
          </w:p>
        </w:tc>
        <w:tc>
          <w:tcPr>
            <w:tcW w:type="dxa" w:w="105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Severity</w:t>
            </w:r>
          </w:p>
        </w:tc>
        <w:tc>
          <w:tcPr>
            <w:tcW w:type="dxa" w:w="125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Status</w:t>
            </w:r>
          </w:p>
        </w:tc>
        <w:tc>
          <w:tcPr>
            <w:tcW w:type="dxa" w:w="3138"/>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What was done</w:t>
            </w:r>
          </w:p>
        </w:tc>
      </w:tr>
      <w:tr>
        <w:trPr>
          <w:cantSplit/>
        </w:trPr>
        <w:tc>
          <w:tcPr>
            <w:tcW w:type="dxa" w:w="7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SR-01</w:t>
            </w:r>
          </w:p>
        </w:tc>
        <w:tc>
          <w:tcPr>
            <w:tcW w:type="dxa" w:w="35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Users could grant themselves permissions.</w:t>
            </w:r>
            <w:r>
              <w:rPr>
                <w:color w:val="1F2933"/>
                <w:sz w:val="17"/>
                <w:szCs w:val="17"/>
              </w:rPr>
              <w:t xml:space="preserve"> The rules read a </w:t>
            </w:r>
            <w:r>
              <w:rPr>
                <w:rFonts w:ascii="Consolas" w:cs="Consolas" w:eastAsia="Consolas" w:hAnsi="Consolas"/>
                <w:color w:val="1F2933"/>
                <w:sz w:val="15"/>
                <w:szCs w:val="15"/>
              </w:rPr>
              <w:t xml:space="preserve">permissions</w:t>
            </w:r>
            <w:r>
              <w:rPr>
                <w:color w:val="1F2933"/>
                <w:sz w:val="17"/>
                <w:szCs w:val="17"/>
              </w:rPr>
              <w:t xml:space="preserve"> field on the user's own profile, which the user could edit. Changing your own role was blocked, but adding </w:t>
            </w:r>
            <w:r>
              <w:rPr>
                <w:rFonts w:ascii="Consolas" w:cs="Consolas" w:eastAsia="Consolas" w:hAnsi="Consolas"/>
                <w:color w:val="1F2933"/>
                <w:sz w:val="15"/>
                <w:szCs w:val="15"/>
              </w:rPr>
              <w:t xml:space="preserve">permissions: ["*"]</w:t>
            </w:r>
            <w:r>
              <w:rPr>
                <w:color w:val="1F2933"/>
                <w:sz w:val="17"/>
                <w:szCs w:val="17"/>
              </w:rPr>
              <w:t xml:space="preserve"> was not.</w:t>
            </w:r>
          </w:p>
        </w:tc>
        <w:tc>
          <w:tcPr>
            <w:tcW w:type="dxa" w:w="1050"/>
            <w:tcBorders>
              <w:top w:val="single" w:color="C9D1D8" w:sz="4"/>
              <w:left w:val="single" w:color="C9D1D8" w:sz="4"/>
              <w:bottom w:val="single" w:color="C9D1D8" w:sz="4"/>
              <w:right w:val="single" w:color="C9D1D8" w:sz="4"/>
            </w:tcBorders>
            <w:shd w:fill="F9DEDA" w:color="auto" w:val="clear"/>
            <w:tcMar>
              <w:top w:type="dxa" w:w="60"/>
              <w:left w:type="dxa" w:w="100"/>
              <w:bottom w:type="dxa" w:w="60"/>
              <w:right w:type="dxa" w:w="100"/>
            </w:tcMar>
          </w:tcPr>
          <w:p>
            <w:pPr>
              <w:spacing w:after="40" w:line="252"/>
            </w:pPr>
            <w:r>
              <w:rPr>
                <w:color w:val="1F2933"/>
                <w:sz w:val="17"/>
                <w:szCs w:val="17"/>
              </w:rPr>
              <w:t xml:space="preserve">High</w:t>
            </w:r>
          </w:p>
        </w:tc>
        <w:tc>
          <w:tcPr>
            <w:tcW w:type="dxa" w:w="1250"/>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Fixed 18 Sep (c0537814)</w:t>
            </w:r>
          </w:p>
        </w:tc>
        <w:tc>
          <w:tcPr>
            <w:tcW w:type="dxa" w:w="3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Rules now work out capabilities from the assigned role only. Active test: a self-written permissions field grants nothing.</w:t>
            </w:r>
          </w:p>
        </w:tc>
      </w:tr>
      <w:tr>
        <w:trPr>
          <w:cantSplit/>
        </w:trPr>
        <w:tc>
          <w:tcPr>
            <w:tcW w:type="dxa" w:w="7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SR-02</w:t>
            </w:r>
          </w:p>
        </w:tc>
        <w:tc>
          <w:tcPr>
            <w:tcW w:type="dxa" w:w="35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Cloud Functions checked the wrong thing.</w:t>
            </w:r>
            <w:r>
              <w:rPr>
                <w:color w:val="1F2933"/>
                <w:sz w:val="17"/>
                <w:szCs w:val="17"/>
              </w:rPr>
              <w:t xml:space="preserve"> Create user, deactivate user, delete user, connect-provider sync and both ClinFlow analysis functions checked for the literal role name "System Admin" (or a field that does not exist), so they were inconsistent with the rules.</w:t>
            </w:r>
          </w:p>
        </w:tc>
        <w:tc>
          <w:tcPr>
            <w:tcW w:type="dxa" w:w="1050"/>
            <w:tcBorders>
              <w:top w:val="single" w:color="C9D1D8" w:sz="4"/>
              <w:left w:val="single" w:color="C9D1D8" w:sz="4"/>
              <w:bottom w:val="single" w:color="C9D1D8" w:sz="4"/>
              <w:right w:val="single" w:color="C9D1D8" w:sz="4"/>
            </w:tcBorders>
            <w:shd w:fill="FCEFC7" w:color="auto" w:val="clear"/>
            <w:tcMar>
              <w:top w:type="dxa" w:w="60"/>
              <w:left w:type="dxa" w:w="100"/>
              <w:bottom w:type="dxa" w:w="60"/>
              <w:right w:type="dxa" w:w="100"/>
            </w:tcMar>
          </w:tcPr>
          <w:p>
            <w:pPr>
              <w:spacing w:after="40" w:line="252"/>
            </w:pPr>
            <w:r>
              <w:rPr>
                <w:color w:val="1F2933"/>
                <w:sz w:val="17"/>
                <w:szCs w:val="17"/>
              </w:rPr>
              <w:t xml:space="preserve">Medium</w:t>
            </w:r>
          </w:p>
        </w:tc>
        <w:tc>
          <w:tcPr>
            <w:tcW w:type="dxa" w:w="1250"/>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Fixed (af153b47)</w:t>
            </w:r>
          </w:p>
        </w:tc>
        <w:tc>
          <w:tcPr>
            <w:tcW w:type="dxa" w:w="3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New shared capability module in the Cloud Functions mirrors the database rules.</w:t>
            </w:r>
          </w:p>
        </w:tc>
      </w:tr>
      <w:tr>
        <w:trPr>
          <w:cantSplit/>
        </w:trPr>
        <w:tc>
          <w:tcPr>
            <w:tcW w:type="dxa" w:w="7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SR-03</w:t>
            </w:r>
          </w:p>
        </w:tc>
        <w:tc>
          <w:tcPr>
            <w:tcW w:type="dxa" w:w="35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Escalation risk created by the SR-02 fix.</w:t>
            </w:r>
            <w:r>
              <w:rPr>
                <w:color w:val="1F2933"/>
                <w:sz w:val="17"/>
                <w:szCs w:val="17"/>
              </w:rPr>
              <w:t xml:space="preserve"> Once a Practice Manager could create users, nothing stopped them creating a new System Admin.</w:t>
            </w:r>
          </w:p>
        </w:tc>
        <w:tc>
          <w:tcPr>
            <w:tcW w:type="dxa" w:w="1050"/>
            <w:tcBorders>
              <w:top w:val="single" w:color="C9D1D8" w:sz="4"/>
              <w:left w:val="single" w:color="C9D1D8" w:sz="4"/>
              <w:bottom w:val="single" w:color="C9D1D8" w:sz="4"/>
              <w:right w:val="single" w:color="C9D1D8" w:sz="4"/>
            </w:tcBorders>
            <w:shd w:fill="F9DEDA" w:color="auto" w:val="clear"/>
            <w:tcMar>
              <w:top w:type="dxa" w:w="60"/>
              <w:left w:type="dxa" w:w="100"/>
              <w:bottom w:type="dxa" w:w="60"/>
              <w:right w:type="dxa" w:w="100"/>
            </w:tcMar>
          </w:tcPr>
          <w:p>
            <w:pPr>
              <w:spacing w:after="40" w:line="252"/>
            </w:pPr>
            <w:r>
              <w:rPr>
                <w:color w:val="1F2933"/>
                <w:sz w:val="17"/>
                <w:szCs w:val="17"/>
              </w:rPr>
              <w:t xml:space="preserve">High (prevented before release)</w:t>
            </w:r>
          </w:p>
        </w:tc>
        <w:tc>
          <w:tcPr>
            <w:tcW w:type="dxa" w:w="1250"/>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Fixed (af153b47)</w:t>
            </w:r>
          </w:p>
        </w:tc>
        <w:tc>
          <w:tcPr>
            <w:tcW w:type="dxa" w:w="3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Only an existing System Admin can create another System Admin. Caught during the review, before the change went live.</w:t>
            </w:r>
          </w:p>
        </w:tc>
      </w:tr>
      <w:tr>
        <w:trPr>
          <w:cantSplit/>
        </w:trPr>
        <w:tc>
          <w:tcPr>
            <w:tcW w:type="dxa" w:w="7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SR-04</w:t>
            </w:r>
          </w:p>
        </w:tc>
        <w:tc>
          <w:tcPr>
            <w:tcW w:type="dxa" w:w="35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Sensor-reading function had no permission check.</w:t>
            </w:r>
            <w:r>
              <w:rPr>
                <w:color w:val="1F2933"/>
                <w:sz w:val="17"/>
                <w:szCs w:val="17"/>
              </w:rPr>
              <w:t xml:space="preserve"> Any signed-in user could inject fabricated cold-chain readings (for example a fake in-range vaccine fridge temperature), because the function bypasses the database rules.</w:t>
            </w:r>
          </w:p>
        </w:tc>
        <w:tc>
          <w:tcPr>
            <w:tcW w:type="dxa" w:w="1050"/>
            <w:tcBorders>
              <w:top w:val="single" w:color="C9D1D8" w:sz="4"/>
              <w:left w:val="single" w:color="C9D1D8" w:sz="4"/>
              <w:bottom w:val="single" w:color="C9D1D8" w:sz="4"/>
              <w:right w:val="single" w:color="C9D1D8" w:sz="4"/>
            </w:tcBorders>
            <w:shd w:fill="F9DEDA" w:color="auto" w:val="clear"/>
            <w:tcMar>
              <w:top w:type="dxa" w:w="60"/>
              <w:left w:type="dxa" w:w="100"/>
              <w:bottom w:type="dxa" w:w="60"/>
              <w:right w:type="dxa" w:w="100"/>
            </w:tcMar>
          </w:tcPr>
          <w:p>
            <w:pPr>
              <w:spacing w:after="40" w:line="252"/>
            </w:pPr>
            <w:r>
              <w:rPr>
                <w:color w:val="1F2933"/>
                <w:sz w:val="17"/>
                <w:szCs w:val="17"/>
              </w:rPr>
              <w:t xml:space="preserve">High</w:t>
            </w:r>
          </w:p>
        </w:tc>
        <w:tc>
          <w:tcPr>
            <w:tcW w:type="dxa" w:w="1250"/>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Fixed (af153b47)</w:t>
            </w:r>
          </w:p>
        </w:tc>
        <w:tc>
          <w:tcPr>
            <w:tcW w:type="dxa" w:w="3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Function now requires the device-management capability, matching the rules.</w:t>
            </w:r>
          </w:p>
        </w:tc>
      </w:tr>
      <w:tr>
        <w:trPr>
          <w:cantSplit/>
        </w:trPr>
        <w:tc>
          <w:tcPr>
            <w:tcW w:type="dxa" w:w="7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SR-05</w:t>
            </w:r>
          </w:p>
        </w:tc>
        <w:tc>
          <w:tcPr>
            <w:tcW w:type="dxa" w:w="35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Stored XSS in QR label printing.</w:t>
            </w:r>
            <w:r>
              <w:rPr>
                <w:color w:val="1F2933"/>
                <w:sz w:val="17"/>
                <w:szCs w:val="17"/>
              </w:rPr>
              <w:t xml:space="preserve"> Asset name, location and code were written unescaped into a print window, so a user who could edit assets could plant script that ran when a colleague printed the label.</w:t>
            </w:r>
          </w:p>
        </w:tc>
        <w:tc>
          <w:tcPr>
            <w:tcW w:type="dxa" w:w="1050"/>
            <w:tcBorders>
              <w:top w:val="single" w:color="C9D1D8" w:sz="4"/>
              <w:left w:val="single" w:color="C9D1D8" w:sz="4"/>
              <w:bottom w:val="single" w:color="C9D1D8" w:sz="4"/>
              <w:right w:val="single" w:color="C9D1D8" w:sz="4"/>
            </w:tcBorders>
            <w:shd w:fill="FCEFC7" w:color="auto" w:val="clear"/>
            <w:tcMar>
              <w:top w:type="dxa" w:w="60"/>
              <w:left w:type="dxa" w:w="100"/>
              <w:bottom w:type="dxa" w:w="60"/>
              <w:right w:type="dxa" w:w="100"/>
            </w:tcMar>
          </w:tcPr>
          <w:p>
            <w:pPr>
              <w:spacing w:after="40" w:line="252"/>
            </w:pPr>
            <w:r>
              <w:rPr>
                <w:color w:val="1F2933"/>
                <w:sz w:val="17"/>
                <w:szCs w:val="17"/>
              </w:rPr>
              <w:t xml:space="preserve">Medium</w:t>
            </w:r>
          </w:p>
        </w:tc>
        <w:tc>
          <w:tcPr>
            <w:tcW w:type="dxa" w:w="1250"/>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Fixed (af153b47)</w:t>
            </w:r>
          </w:p>
        </w:tc>
        <w:tc>
          <w:tcPr>
            <w:tcW w:type="dxa" w:w="3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Output is escaped, matching the other print builders. The later Concerns print summary was also tested with hostile input (section 7).</w:t>
            </w:r>
          </w:p>
        </w:tc>
      </w:tr>
      <w:tr>
        <w:trPr>
          <w:cantSplit/>
        </w:trPr>
        <w:tc>
          <w:tcPr>
            <w:tcW w:type="dxa" w:w="7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SR-06</w:t>
            </w:r>
          </w:p>
        </w:tc>
        <w:tc>
          <w:tcPr>
            <w:tcW w:type="dxa" w:w="35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Invitation hijack.</w:t>
            </w:r>
            <w:r>
              <w:rPr>
                <w:color w:val="1F2933"/>
                <w:sz w:val="17"/>
                <w:szCs w:val="17"/>
              </w:rPr>
              <w:t xml:space="preserve"> A signed-in user could claim someone else's pending invitation, because the claim did not check the email address matched.</w:t>
            </w:r>
          </w:p>
        </w:tc>
        <w:tc>
          <w:tcPr>
            <w:tcW w:type="dxa" w:w="1050"/>
            <w:tcBorders>
              <w:top w:val="single" w:color="C9D1D8" w:sz="4"/>
              <w:left w:val="single" w:color="C9D1D8" w:sz="4"/>
              <w:bottom w:val="single" w:color="C9D1D8" w:sz="4"/>
              <w:right w:val="single" w:color="C9D1D8" w:sz="4"/>
            </w:tcBorders>
            <w:shd w:fill="F9DEDA" w:color="auto" w:val="clear"/>
            <w:tcMar>
              <w:top w:type="dxa" w:w="60"/>
              <w:left w:type="dxa" w:w="100"/>
              <w:bottom w:type="dxa" w:w="60"/>
              <w:right w:type="dxa" w:w="100"/>
            </w:tcMar>
          </w:tcPr>
          <w:p>
            <w:pPr>
              <w:spacing w:after="40" w:line="252"/>
            </w:pPr>
            <w:r>
              <w:rPr>
                <w:color w:val="1F2933"/>
                <w:sz w:val="17"/>
                <w:szCs w:val="17"/>
              </w:rPr>
              <w:t xml:space="preserve">High</w:t>
            </w:r>
          </w:p>
        </w:tc>
        <w:tc>
          <w:tcPr>
            <w:tcW w:type="dxa" w:w="1250"/>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Fixed (af153b47), then removed (SR-11)</w:t>
            </w:r>
          </w:p>
        </w:tc>
        <w:tc>
          <w:tcPr>
            <w:tcW w:type="dxa" w:w="3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Confirmed exploitable, fixed, re-tested, and the whole flow later deleted.</w:t>
            </w:r>
          </w:p>
        </w:tc>
      </w:tr>
      <w:tr>
        <w:trPr>
          <w:cantSplit/>
        </w:trPr>
        <w:tc>
          <w:tcPr>
            <w:tcW w:type="dxa" w:w="7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SR-07</w:t>
            </w:r>
          </w:p>
        </w:tc>
        <w:tc>
          <w:tcPr>
            <w:tcW w:type="dxa" w:w="35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Known vulnerabilities in dependencies.</w:t>
            </w:r>
            <w:r>
              <w:rPr>
                <w:color w:val="1F2933"/>
                <w:sz w:val="17"/>
                <w:szCs w:val="17"/>
              </w:rPr>
              <w:t xml:space="preserve"> 10 advisories: 1 high (</w:t>
            </w:r>
            <w:r>
              <w:rPr>
                <w:rFonts w:ascii="Consolas" w:cs="Consolas" w:eastAsia="Consolas" w:hAnsi="Consolas"/>
                <w:color w:val="1F2933"/>
                <w:sz w:val="15"/>
                <w:szCs w:val="15"/>
              </w:rPr>
              <w:t xml:space="preserve">nanoid</w:t>
            </w:r>
            <w:r>
              <w:rPr>
                <w:color w:val="1F2933"/>
                <w:sz w:val="17"/>
                <w:szCs w:val="17"/>
              </w:rPr>
              <w:t xml:space="preserve">) and 9 moderate (</w:t>
            </w:r>
            <w:r>
              <w:rPr>
                <w:rFonts w:ascii="Consolas" w:cs="Consolas" w:eastAsia="Consolas" w:hAnsi="Consolas"/>
                <w:color w:val="1F2933"/>
                <w:sz w:val="15"/>
                <w:szCs w:val="15"/>
              </w:rPr>
              <w:t xml:space="preserve">dompurify</w:t>
            </w:r>
            <w:r>
              <w:rPr>
                <w:color w:val="1F2933"/>
                <w:sz w:val="17"/>
                <w:szCs w:val="17"/>
              </w:rPr>
              <w:t xml:space="preserve">, </w:t>
            </w:r>
            <w:r>
              <w:rPr>
                <w:rFonts w:ascii="Consolas" w:cs="Consolas" w:eastAsia="Consolas" w:hAnsi="Consolas"/>
                <w:color w:val="1F2933"/>
                <w:sz w:val="15"/>
                <w:szCs w:val="15"/>
              </w:rPr>
              <w:t xml:space="preserve">react-router</w:t>
            </w:r>
            <w:r>
              <w:rPr>
                <w:color w:val="1F2933"/>
                <w:sz w:val="17"/>
                <w:szCs w:val="17"/>
              </w:rPr>
              <w:t xml:space="preserve">, the </w:t>
            </w:r>
            <w:r>
              <w:rPr>
                <w:rFonts w:ascii="Consolas" w:cs="Consolas" w:eastAsia="Consolas" w:hAnsi="Consolas"/>
                <w:color w:val="1F2933"/>
                <w:sz w:val="15"/>
                <w:szCs w:val="15"/>
              </w:rPr>
              <w:t xml:space="preserve">firebase-admin</w:t>
            </w:r>
            <w:r>
              <w:rPr>
                <w:color w:val="1F2933"/>
                <w:sz w:val="17"/>
                <w:szCs w:val="17"/>
              </w:rPr>
              <w:t xml:space="preserve"> chain, </w:t>
            </w:r>
            <w:r>
              <w:rPr>
                <w:rFonts w:ascii="Consolas" w:cs="Consolas" w:eastAsia="Consolas" w:hAnsi="Consolas"/>
                <w:color w:val="1F2933"/>
                <w:sz w:val="15"/>
                <w:szCs w:val="15"/>
              </w:rPr>
              <w:t xml:space="preserve">uuid</w:t>
            </w:r>
            <w:r>
              <w:rPr>
                <w:color w:val="1F2933"/>
                <w:sz w:val="17"/>
                <w:szCs w:val="17"/>
              </w:rPr>
              <w:t xml:space="preserve">).</w:t>
            </w:r>
          </w:p>
        </w:tc>
        <w:tc>
          <w:tcPr>
            <w:tcW w:type="dxa" w:w="1050"/>
            <w:tcBorders>
              <w:top w:val="single" w:color="C9D1D8" w:sz="4"/>
              <w:left w:val="single" w:color="C9D1D8" w:sz="4"/>
              <w:bottom w:val="single" w:color="C9D1D8" w:sz="4"/>
              <w:right w:val="single" w:color="C9D1D8" w:sz="4"/>
            </w:tcBorders>
            <w:shd w:fill="F9DEDA" w:color="auto" w:val="clear"/>
            <w:tcMar>
              <w:top w:type="dxa" w:w="60"/>
              <w:left w:type="dxa" w:w="100"/>
              <w:bottom w:type="dxa" w:w="60"/>
              <w:right w:type="dxa" w:w="100"/>
            </w:tcMar>
          </w:tcPr>
          <w:p>
            <w:pPr>
              <w:spacing w:after="40" w:line="252"/>
            </w:pPr>
            <w:r>
              <w:rPr>
                <w:color w:val="1F2933"/>
                <w:sz w:val="17"/>
                <w:szCs w:val="17"/>
              </w:rPr>
              <w:t xml:space="preserve">High</w:t>
            </w:r>
          </w:p>
        </w:tc>
        <w:tc>
          <w:tcPr>
            <w:tcW w:type="dxa" w:w="1250"/>
            <w:tcBorders>
              <w:top w:val="single" w:color="C9D1D8" w:sz="4"/>
              <w:left w:val="single" w:color="C9D1D8" w:sz="4"/>
              <w:bottom w:val="single" w:color="C9D1D8" w:sz="4"/>
              <w:right w:val="single" w:color="C9D1D8" w:sz="4"/>
            </w:tcBorders>
            <w:shd w:fill="FCEFC7" w:color="auto" w:val="clear"/>
            <w:tcMar>
              <w:top w:type="dxa" w:w="60"/>
              <w:left w:type="dxa" w:w="100"/>
              <w:bottom w:type="dxa" w:w="60"/>
              <w:right w:type="dxa" w:w="100"/>
            </w:tcMar>
          </w:tcPr>
          <w:p>
            <w:pPr>
              <w:spacing w:after="40" w:line="252"/>
            </w:pPr>
            <w:r>
              <w:rPr>
                <w:color w:val="1F2933"/>
                <w:sz w:val="17"/>
                <w:szCs w:val="17"/>
              </w:rPr>
              <w:t xml:space="preserve">Fixed except one item</w:t>
            </w:r>
          </w:p>
        </w:tc>
        <w:tc>
          <w:tcPr>
            <w:tcW w:type="dxa" w:w="3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Resolved with </w:t>
            </w:r>
            <w:r>
              <w:rPr>
                <w:rFonts w:ascii="Consolas" w:cs="Consolas" w:eastAsia="Consolas" w:hAnsi="Consolas"/>
                <w:color w:val="1F2933"/>
                <w:sz w:val="15"/>
                <w:szCs w:val="15"/>
              </w:rPr>
              <w:t xml:space="preserve">npm audit fix</w:t>
            </w:r>
            <w:r>
              <w:rPr>
                <w:color w:val="1F2933"/>
                <w:sz w:val="17"/>
                <w:szCs w:val="17"/>
              </w:rPr>
              <w:t xml:space="preserve"> in the app and the Cloud Functions; build verified. One </w:t>
            </w:r>
            <w:r>
              <w:rPr>
                <w:rFonts w:ascii="Consolas" w:cs="Consolas" w:eastAsia="Consolas" w:hAnsi="Consolas"/>
                <w:color w:val="1F2933"/>
                <w:sz w:val="15"/>
                <w:szCs w:val="15"/>
              </w:rPr>
              <w:t xml:space="preserve">react-router</w:t>
            </w:r>
            <w:r>
              <w:rPr>
                <w:color w:val="1F2933"/>
                <w:sz w:val="17"/>
                <w:szCs w:val="17"/>
              </w:rPr>
              <w:t xml:space="preserve"> advisory needs a major version upgrade and is deferred (section 8).</w:t>
            </w:r>
          </w:p>
        </w:tc>
      </w:tr>
      <w:tr>
        <w:trPr>
          <w:cantSplit/>
        </w:trPr>
        <w:tc>
          <w:tcPr>
            <w:tcW w:type="dxa" w:w="7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SR-08</w:t>
            </w:r>
          </w:p>
        </w:tc>
        <w:tc>
          <w:tcPr>
            <w:tcW w:type="dxa" w:w="35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No Content-Security-Policy on the desktop app.</w:t>
            </w:r>
            <w:r>
              <w:rPr>
                <w:color w:val="1F2933"/>
                <w:sz w:val="17"/>
                <w:szCs w:val="17"/>
              </w:rPr>
              <w:t xml:space="preserve"> The configuration had CSP switched off, which removes the browser's main defence if a script ever got injected.</w:t>
            </w:r>
          </w:p>
        </w:tc>
        <w:tc>
          <w:tcPr>
            <w:tcW w:type="dxa" w:w="1050"/>
            <w:tcBorders>
              <w:top w:val="single" w:color="C9D1D8" w:sz="4"/>
              <w:left w:val="single" w:color="C9D1D8" w:sz="4"/>
              <w:bottom w:val="single" w:color="C9D1D8" w:sz="4"/>
              <w:right w:val="single" w:color="C9D1D8" w:sz="4"/>
            </w:tcBorders>
            <w:shd w:fill="FCEFC7" w:color="auto" w:val="clear"/>
            <w:tcMar>
              <w:top w:type="dxa" w:w="60"/>
              <w:left w:type="dxa" w:w="100"/>
              <w:bottom w:type="dxa" w:w="60"/>
              <w:right w:type="dxa" w:w="100"/>
            </w:tcMar>
          </w:tcPr>
          <w:p>
            <w:pPr>
              <w:spacing w:after="40" w:line="252"/>
            </w:pPr>
            <w:r>
              <w:rPr>
                <w:color w:val="1F2933"/>
                <w:sz w:val="17"/>
                <w:szCs w:val="17"/>
              </w:rPr>
              <w:t xml:space="preserve">Medium</w:t>
            </w:r>
          </w:p>
        </w:tc>
        <w:tc>
          <w:tcPr>
            <w:tcW w:type="dxa" w:w="1250"/>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Fixed (31b87caa, 955fc818, 44fab1df)</w:t>
            </w:r>
          </w:p>
        </w:tc>
        <w:tc>
          <w:tcPr>
            <w:tcW w:type="dxa" w:w="3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Policy enabled and tested in the built app. See section 6 for the policy.</w:t>
            </w:r>
          </w:p>
        </w:tc>
      </w:tr>
      <w:tr>
        <w:trPr>
          <w:cantSplit/>
        </w:trPr>
        <w:tc>
          <w:tcPr>
            <w:tcW w:type="dxa" w:w="7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SR-09</w:t>
            </w:r>
          </w:p>
        </w:tc>
        <w:tc>
          <w:tcPr>
            <w:tcW w:type="dxa" w:w="35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Idle-lock PIN stored as an unsalted SHA-256 hash.</w:t>
            </w:r>
            <w:r>
              <w:rPr>
                <w:color w:val="1F2933"/>
                <w:sz w:val="17"/>
                <w:szCs w:val="17"/>
              </w:rPr>
              <w:t xml:space="preserve"> A short PIN hashed this way can be recovered in well under a second by anyone who can read it from local storage.</w:t>
            </w:r>
          </w:p>
        </w:tc>
        <w:tc>
          <w:tcPr>
            <w:tcW w:type="dxa" w:w="1050"/>
            <w:tcBorders>
              <w:top w:val="single" w:color="C9D1D8" w:sz="4"/>
              <w:left w:val="single" w:color="C9D1D8" w:sz="4"/>
              <w:bottom w:val="single" w:color="C9D1D8" w:sz="4"/>
              <w:right w:val="single" w:color="C9D1D8" w:sz="4"/>
            </w:tcBorders>
            <w:shd w:fill="DDEBF8" w:color="auto" w:val="clear"/>
            <w:tcMar>
              <w:top w:type="dxa" w:w="60"/>
              <w:left w:type="dxa" w:w="100"/>
              <w:bottom w:type="dxa" w:w="60"/>
              <w:right w:type="dxa" w:w="100"/>
            </w:tcMar>
          </w:tcPr>
          <w:p>
            <w:pPr>
              <w:spacing w:after="40" w:line="252"/>
            </w:pPr>
            <w:r>
              <w:rPr>
                <w:color w:val="1F2933"/>
                <w:sz w:val="17"/>
                <w:szCs w:val="17"/>
              </w:rPr>
              <w:t xml:space="preserve">Low</w:t>
            </w:r>
          </w:p>
        </w:tc>
        <w:tc>
          <w:tcPr>
            <w:tcW w:type="dxa" w:w="1250"/>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Fixed (5ce578a1)</w:t>
            </w:r>
          </w:p>
        </w:tc>
        <w:tc>
          <w:tcPr>
            <w:tcW w:type="dxa" w:w="3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Now PBKDF2-SHA-256 with 200,000 iterations and a random 16-byte salt. Older PINs are upgraded silently the next time they are entered correctly.</w:t>
            </w:r>
          </w:p>
        </w:tc>
      </w:tr>
      <w:tr>
        <w:trPr>
          <w:cantSplit/>
        </w:trPr>
        <w:tc>
          <w:tcPr>
            <w:tcW w:type="dxa" w:w="7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SR-10</w:t>
            </w:r>
          </w:p>
        </w:tc>
        <w:tc>
          <w:tcPr>
            <w:tcW w:type="dxa" w:w="35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QR codes made by a third-party website.</w:t>
            </w:r>
            <w:r>
              <w:rPr>
                <w:color w:val="1F2933"/>
                <w:sz w:val="17"/>
                <w:szCs w:val="17"/>
              </w:rPr>
              <w:t xml:space="preserve"> Printing a label sent asset identifiers, the practice's IP address and timing to api.qrserver.com, a service that had not been assessed.</w:t>
            </w:r>
          </w:p>
        </w:tc>
        <w:tc>
          <w:tcPr>
            <w:tcW w:type="dxa" w:w="1050"/>
            <w:tcBorders>
              <w:top w:val="single" w:color="C9D1D8" w:sz="4"/>
              <w:left w:val="single" w:color="C9D1D8" w:sz="4"/>
              <w:bottom w:val="single" w:color="C9D1D8" w:sz="4"/>
              <w:right w:val="single" w:color="C9D1D8" w:sz="4"/>
            </w:tcBorders>
            <w:shd w:fill="DDEBF8" w:color="auto" w:val="clear"/>
            <w:tcMar>
              <w:top w:type="dxa" w:w="60"/>
              <w:left w:type="dxa" w:w="100"/>
              <w:bottom w:type="dxa" w:w="60"/>
              <w:right w:type="dxa" w:w="100"/>
            </w:tcMar>
          </w:tcPr>
          <w:p>
            <w:pPr>
              <w:spacing w:after="40" w:line="252"/>
            </w:pPr>
            <w:r>
              <w:rPr>
                <w:color w:val="1F2933"/>
                <w:sz w:val="17"/>
                <w:szCs w:val="17"/>
              </w:rPr>
              <w:t xml:space="preserve">Low</w:t>
            </w:r>
          </w:p>
        </w:tc>
        <w:tc>
          <w:tcPr>
            <w:tcW w:type="dxa" w:w="1250"/>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Fixed (f42e34cd)</w:t>
            </w:r>
          </w:p>
        </w:tc>
        <w:tc>
          <w:tcPr>
            <w:tcW w:type="dxa" w:w="3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QR codes are now generated inside the app. No request is made. The data-sharing map was updated to record the change.</w:t>
            </w:r>
          </w:p>
        </w:tc>
      </w:tr>
      <w:tr>
        <w:trPr>
          <w:cantSplit/>
        </w:trPr>
        <w:tc>
          <w:tcPr>
            <w:tcW w:type="dxa" w:w="7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SR-11</w:t>
            </w:r>
          </w:p>
        </w:tc>
        <w:tc>
          <w:tcPr>
            <w:tcW w:type="dxa" w:w="35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Dead self-registration and invitation code.</w:t>
            </w:r>
            <w:r>
              <w:rPr>
                <w:color w:val="1F2933"/>
                <w:sz w:val="17"/>
                <w:szCs w:val="17"/>
              </w:rPr>
              <w:t xml:space="preserve"> The /register page and invitations collection were no longer used but remained reachable.</w:t>
            </w:r>
          </w:p>
        </w:tc>
        <w:tc>
          <w:tcPr>
            <w:tcW w:type="dxa" w:w="1050"/>
            <w:tcBorders>
              <w:top w:val="single" w:color="C9D1D8" w:sz="4"/>
              <w:left w:val="single" w:color="C9D1D8" w:sz="4"/>
              <w:bottom w:val="single" w:color="C9D1D8" w:sz="4"/>
              <w:right w:val="single" w:color="C9D1D8" w:sz="4"/>
            </w:tcBorders>
            <w:shd w:fill="FCEFC7" w:color="auto" w:val="clear"/>
            <w:tcMar>
              <w:top w:type="dxa" w:w="60"/>
              <w:left w:type="dxa" w:w="100"/>
              <w:bottom w:type="dxa" w:w="60"/>
              <w:right w:type="dxa" w:w="100"/>
            </w:tcMar>
          </w:tcPr>
          <w:p>
            <w:pPr>
              <w:spacing w:after="40" w:line="252"/>
            </w:pPr>
            <w:r>
              <w:rPr>
                <w:color w:val="1F2933"/>
                <w:sz w:val="17"/>
                <w:szCs w:val="17"/>
              </w:rPr>
              <w:t xml:space="preserve">Medium</w:t>
            </w:r>
          </w:p>
        </w:tc>
        <w:tc>
          <w:tcPr>
            <w:tcW w:type="dxa" w:w="1250"/>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Fixed (e625f81d)</w:t>
            </w:r>
          </w:p>
        </w:tc>
        <w:tc>
          <w:tcPr>
            <w:tcW w:type="dxa" w:w="3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Page, route and code deleted. The invitations collection is now administrator-only.</w:t>
            </w:r>
          </w:p>
        </w:tc>
      </w:tr>
      <w:tr>
        <w:trPr>
          <w:cantSplit/>
        </w:trPr>
        <w:tc>
          <w:tcPr>
            <w:tcW w:type="dxa" w:w="7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SR-12</w:t>
            </w:r>
          </w:p>
        </w:tc>
        <w:tc>
          <w:tcPr>
            <w:tcW w:type="dxa" w:w="35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Anyone with a login could create their own user profile.</w:t>
            </w:r>
            <w:r>
              <w:rPr>
                <w:color w:val="1F2933"/>
                <w:sz w:val="17"/>
                <w:szCs w:val="17"/>
              </w:rPr>
              <w:t xml:space="preserve"> A rule left over from self-registration let any account holder write themselves a working "User" profile. Found while removing SR-11.</w:t>
            </w:r>
          </w:p>
        </w:tc>
        <w:tc>
          <w:tcPr>
            <w:tcW w:type="dxa" w:w="1050"/>
            <w:tcBorders>
              <w:top w:val="single" w:color="C9D1D8" w:sz="4"/>
              <w:left w:val="single" w:color="C9D1D8" w:sz="4"/>
              <w:bottom w:val="single" w:color="C9D1D8" w:sz="4"/>
              <w:right w:val="single" w:color="C9D1D8" w:sz="4"/>
            </w:tcBorders>
            <w:shd w:fill="F9DEDA" w:color="auto" w:val="clear"/>
            <w:tcMar>
              <w:top w:type="dxa" w:w="60"/>
              <w:left w:type="dxa" w:w="100"/>
              <w:bottom w:type="dxa" w:w="60"/>
              <w:right w:type="dxa" w:w="100"/>
            </w:tcMar>
          </w:tcPr>
          <w:p>
            <w:pPr>
              <w:spacing w:after="40" w:line="252"/>
            </w:pPr>
            <w:r>
              <w:rPr>
                <w:color w:val="1F2933"/>
                <w:sz w:val="17"/>
                <w:szCs w:val="17"/>
              </w:rPr>
              <w:t xml:space="preserve">High</w:t>
            </w:r>
          </w:p>
        </w:tc>
        <w:tc>
          <w:tcPr>
            <w:tcW w:type="dxa" w:w="1250"/>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Fixed (e625f81d)</w:t>
            </w:r>
          </w:p>
        </w:tc>
        <w:tc>
          <w:tcPr>
            <w:tcW w:type="dxa" w:w="3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Rule removed. Profiles are now created only by the administrator Cloud Function. Tested: a stranger with a new account cannot create a profile.</w:t>
            </w:r>
          </w:p>
        </w:tc>
      </w:tr>
      <w:tr>
        <w:trPr>
          <w:cantSplit/>
        </w:trPr>
        <w:tc>
          <w:tcPr>
            <w:tcW w:type="dxa" w:w="7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SR-13</w:t>
            </w:r>
          </w:p>
        </w:tc>
        <w:tc>
          <w:tcPr>
            <w:tcW w:type="dxa" w:w="35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Role-editing is administrator-only</w:t>
            </w:r>
            <w:r>
              <w:rPr>
                <w:color w:val="1F2933"/>
                <w:sz w:val="17"/>
                <w:szCs w:val="17"/>
              </w:rPr>
              <w:t xml:space="preserve"> although the Practice Manager role lists a role-management capability, so that capability does nothing today.</w:t>
            </w:r>
          </w:p>
        </w:tc>
        <w:tc>
          <w:tcPr>
            <w:tcW w:type="dxa" w:w="1050"/>
            <w:tcBorders>
              <w:top w:val="single" w:color="C9D1D8" w:sz="4"/>
              <w:left w:val="single" w:color="C9D1D8" w:sz="4"/>
              <w:bottom w:val="single" w:color="C9D1D8" w:sz="4"/>
              <w:right w:val="single" w:color="C9D1D8" w:sz="4"/>
            </w:tcBorders>
            <w:shd w:fill="ECEFF1" w:color="auto" w:val="clear"/>
            <w:tcMar>
              <w:top w:type="dxa" w:w="60"/>
              <w:left w:type="dxa" w:w="100"/>
              <w:bottom w:type="dxa" w:w="60"/>
              <w:right w:type="dxa" w:w="100"/>
            </w:tcMar>
          </w:tcPr>
          <w:p>
            <w:pPr>
              <w:spacing w:after="40" w:line="252"/>
            </w:pPr>
            <w:r>
              <w:rPr>
                <w:color w:val="1F2933"/>
                <w:sz w:val="17"/>
                <w:szCs w:val="17"/>
              </w:rPr>
              <w:t xml:space="preserve">Info</w:t>
            </w:r>
          </w:p>
        </w:tc>
        <w:tc>
          <w:tcPr>
            <w:tcW w:type="dxa" w:w="1250"/>
            <w:tcBorders>
              <w:top w:val="single" w:color="C9D1D8" w:sz="4"/>
              <w:left w:val="single" w:color="C9D1D8" w:sz="4"/>
              <w:bottom w:val="single" w:color="C9D1D8" w:sz="4"/>
              <w:right w:val="single" w:color="C9D1D8" w:sz="4"/>
            </w:tcBorders>
            <w:shd w:fill="FCEFC7" w:color="auto" w:val="clear"/>
            <w:tcMar>
              <w:top w:type="dxa" w:w="60"/>
              <w:left w:type="dxa" w:w="100"/>
              <w:bottom w:type="dxa" w:w="60"/>
              <w:right w:type="dxa" w:w="100"/>
            </w:tcMar>
          </w:tcPr>
          <w:p>
            <w:pPr>
              <w:spacing w:after="40" w:line="252"/>
            </w:pPr>
            <w:r>
              <w:rPr>
                <w:color w:val="1F2933"/>
                <w:sz w:val="17"/>
                <w:szCs w:val="17"/>
              </w:rPr>
              <w:t xml:space="preserve">Accepted by design; confirm</w:t>
            </w:r>
          </w:p>
        </w:tc>
        <w:tc>
          <w:tcPr>
            <w:tcW w:type="dxa" w:w="31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This stops a Practice Manager raising their own privileges by editing roles. The practice should confirm this is the intended policy.</w:t>
            </w:r>
          </w:p>
        </w:tc>
      </w:tr>
    </w:tbl>
    <w:p>
      <w:pPr>
        <w:spacing w:after="100"/>
      </w:pPr>
    </w:p>
    <w:p>
      <w:pPr>
        <w:pStyle w:val="Heading1"/>
        <w:keepNext/>
        <w:spacing w:after="140" w:before="360"/>
      </w:pPr>
      <w:r>
        <w:rPr>
          <w:rFonts w:ascii="Calibri" w:cs="Calibri" w:eastAsia="Calibri" w:hAnsi="Calibri"/>
          <w:b/>
          <w:bCs/>
          <w:color w:val="12324F"/>
          <w:sz w:val="30"/>
          <w:szCs w:val="30"/>
        </w:rPr>
        <w:t xml:space="preserve">6. Security controls in place at the date of this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Control</w:t>
            </w:r>
          </w:p>
        </w:tc>
        <w:tc>
          <w:tcPr>
            <w:tcW w:type="dxa" w:w="7338"/>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How it is done</w:t>
            </w:r>
          </w:p>
        </w:tc>
      </w:tr>
      <w:tr>
        <w:trPr>
          <w:cantSplit/>
        </w:trPr>
        <w:tc>
          <w:tcPr>
            <w:tcW w:type="dxa" w:w="23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Who can sign in</w:t>
            </w:r>
          </w:p>
        </w:tc>
        <w:tc>
          <w:tcPr>
            <w:tcW w:type="dxa" w:w="73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Firebase Authentication. Accounts are created only by an administrator through a server-side Cloud Function. Self-registration is closed in the database rules (tested). If an administrator needs to help someone back in, the app generates a one-time password link through an administrator-only, audited Cloud Function.</w:t>
            </w:r>
          </w:p>
        </w:tc>
      </w:tr>
      <w:tr>
        <w:trPr>
          <w:cantSplit/>
        </w:trPr>
        <w:tc>
          <w:tcPr>
            <w:tcW w:type="dxa" w:w="23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Who can do what</w:t>
            </w:r>
          </w:p>
        </w:tc>
        <w:tc>
          <w:tcPr>
            <w:tcW w:type="dxa" w:w="73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Role-based, with each role holding a list of capabilities. The same role-to-capability mapping is enforced in three places that mirror each other: the app, the database rules, and the Cloud Functions. Custom roles are supported and tested.</w:t>
            </w:r>
          </w:p>
        </w:tc>
      </w:tr>
      <w:tr>
        <w:trPr>
          <w:cantSplit/>
        </w:trPr>
        <w:tc>
          <w:tcPr>
            <w:tcW w:type="dxa" w:w="23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Sensitive records</w:t>
            </w:r>
          </w:p>
        </w:tc>
        <w:tc>
          <w:tcPr>
            <w:tcW w:type="dxa" w:w="73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SARs and Concerns are visible only to the relevant team, to people named on a case, and (read-only) to oversight partners. Activity and timeline entries can be added but never edited or deleted, and deleting a SAR is limited to the SAR team and recorded. These rules are covered by the attack suite.</w:t>
            </w:r>
          </w:p>
        </w:tc>
      </w:tr>
      <w:tr>
        <w:trPr>
          <w:cantSplit/>
        </w:trPr>
        <w:tc>
          <w:tcPr>
            <w:tcW w:type="dxa" w:w="23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Where data is held</w:t>
            </w:r>
          </w:p>
        </w:tc>
        <w:tc>
          <w:tcPr>
            <w:tcW w:type="dxa" w:w="73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Firestore database in the EU multi-region (eur3). Cloud Functions in europe-west2 (London).</w:t>
            </w:r>
          </w:p>
        </w:tc>
      </w:tr>
      <w:tr>
        <w:trPr>
          <w:cantSplit/>
        </w:trPr>
        <w:tc>
          <w:tcPr>
            <w:tcW w:type="dxa" w:w="23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Recovery</w:t>
            </w:r>
          </w:p>
        </w:tc>
        <w:tc>
          <w:tcPr>
            <w:tcW w:type="dxa" w:w="73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Database delete protection on. Point-in-time recovery on (7-day window).</w:t>
            </w:r>
          </w:p>
        </w:tc>
      </w:tr>
      <w:tr>
        <w:trPr>
          <w:cantSplit/>
        </w:trPr>
        <w:tc>
          <w:tcPr>
            <w:tcW w:type="dxa" w:w="23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Sessions</w:t>
            </w:r>
          </w:p>
        </w:tc>
        <w:tc>
          <w:tcPr>
            <w:tcW w:type="dxa" w:w="73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Automatic lock after 15 minutes of inactivity on both desktop and mobile, unlocked by a PIN. Absolute session limit of 12 hours, after which the person is signed out. The PIN is a convenience lock against someone walking up to an unattended device; it is not encryption of data held on the device.</w:t>
            </w:r>
          </w:p>
        </w:tc>
      </w:tr>
      <w:tr>
        <w:trPr>
          <w:cantSplit/>
        </w:trPr>
        <w:tc>
          <w:tcPr>
            <w:tcW w:type="dxa" w:w="23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Desktop app hardening</w:t>
            </w:r>
          </w:p>
        </w:tc>
        <w:tc>
          <w:tcPr>
            <w:tcW w:type="dxa" w:w="73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Content-Security-Policy enabled: </w:t>
            </w:r>
            <w:r>
              <w:rPr>
                <w:rFonts w:ascii="Consolas" w:cs="Consolas" w:eastAsia="Consolas" w:hAnsi="Consolas"/>
                <w:color w:val="1F2933"/>
                <w:sz w:val="16"/>
                <w:szCs w:val="16"/>
              </w:rPr>
              <w:t xml:space="preserve">default-src 'self'; script-src 'self'; style-src 'self' 'unsafe-inline'; img-src 'self' data: blob:; font-src 'self' data:; connect-src 'self' https://*.googleapis.com https://europe-west2-medtrak-b1cad.cloudfunctions.net; object-src 'none'; base-uri 'self'; form-action 'self'</w:t>
            </w:r>
            <w:r>
              <w:rPr>
                <w:color w:val="1F2933"/>
                <w:sz w:val="18"/>
                <w:szCs w:val="18"/>
              </w:rPr>
              <w:t xml:space="preserve">. Scripts may load only from the app itself. Inline styles are still allowed, which is a known, lower-risk exception.</w:t>
            </w:r>
          </w:p>
        </w:tc>
      </w:tr>
      <w:tr>
        <w:trPr>
          <w:cantSplit/>
        </w:trPr>
        <w:tc>
          <w:tcPr>
            <w:tcW w:type="dxa" w:w="23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Output safety</w:t>
            </w:r>
          </w:p>
        </w:tc>
        <w:tc>
          <w:tcPr>
            <w:tcW w:type="dxa" w:w="73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Printed documents (QR labels, Concerns case summary) escape all values before writing them into the page.</w:t>
            </w:r>
          </w:p>
        </w:tc>
      </w:tr>
      <w:tr>
        <w:trPr>
          <w:cantSplit/>
        </w:trPr>
        <w:tc>
          <w:tcPr>
            <w:tcW w:type="dxa" w:w="23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Third parties</w:t>
            </w:r>
          </w:p>
        </w:tc>
        <w:tc>
          <w:tcPr>
            <w:tcW w:type="dxa" w:w="733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QR codes are generated on the device. No patient or staff data is sent to any third party by this feature.</w:t>
            </w:r>
          </w:p>
        </w:tc>
      </w:tr>
    </w:tbl>
    <w:p>
      <w:pPr>
        <w:spacing w:after="100"/>
      </w:pPr>
    </w:p>
    <w:p>
      <w:pPr>
        <w:pStyle w:val="Heading1"/>
        <w:keepNext/>
        <w:spacing w:after="140" w:before="360"/>
      </w:pPr>
      <w:r>
        <w:rPr>
          <w:rFonts w:ascii="Calibri" w:cs="Calibri" w:eastAsia="Calibri" w:hAnsi="Calibri"/>
          <w:b/>
          <w:bCs/>
          <w:color w:val="12324F"/>
          <w:sz w:val="30"/>
          <w:szCs w:val="30"/>
        </w:rPr>
        <w:t xml:space="preserve">7. Active test results and later checks</w:t>
      </w:r>
    </w:p>
    <w:p>
      <w:pPr>
        <w:spacing w:after="120" w:line="288"/>
      </w:pPr>
      <w:r>
        <w:rPr>
          <w:color w:val="1F2933"/>
          <w:sz w:val="21"/>
          <w:szCs w:val="21"/>
        </w:rPr>
        <w:t xml:space="preserve">The attack suite was re-run on 21 September 2026 against the current </w:t>
      </w:r>
      <w:r>
        <w:rPr>
          <w:rFonts w:ascii="Consolas" w:cs="Consolas" w:eastAsia="Consolas" w:hAnsi="Consolas"/>
          <w:color w:val="1F2933"/>
          <w:sz w:val="19"/>
          <w:szCs w:val="19"/>
        </w:rPr>
        <w:t xml:space="preserve">firestore.rules</w:t>
      </w:r>
      <w:r>
        <w:rPr>
          <w:color w:val="1F2933"/>
          <w:sz w:val="21"/>
          <w:szCs w:val="21"/>
        </w:rPr>
        <w:t xml:space="preserve"> (last changed in commit d02b78a1): </w:t>
      </w:r>
      <w:r>
        <w:rPr>
          <w:b/>
          <w:bCs/>
          <w:color w:val="1F2933"/>
          <w:sz w:val="21"/>
          <w:szCs w:val="21"/>
        </w:rPr>
        <w:t xml:space="preserve">63 of 63 checks pass, none fail.</w:t>
      </w:r>
      <w:r>
        <w:rPr>
          <w:color w:val="1F2933"/>
          <w:sz w:val="21"/>
          <w:szCs w:val="21"/>
        </w:rPr>
        <w:t xml:space="preserve"> The suite began with 25 scenarios on 18 September. It grew to 26 after the invitation fix, and to 63 as SAR editing and deletion, SAR year folders and Concerns face-to-face meetings were added. Each new feature's permissions were added to the suite.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00"/>
        <w:gridCol w:w="1370"/>
        <w:gridCol w:w="1368"/>
      </w:tblGrid>
      <w:tr>
        <w:trPr>
          <w:cantSplit/>
          <w:tblHeader/>
        </w:trPr>
        <w:tc>
          <w:tcPr>
            <w:tcW w:type="dxa" w:w="690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Test group</w:t>
            </w:r>
          </w:p>
        </w:tc>
        <w:tc>
          <w:tcPr>
            <w:tcW w:type="dxa" w:w="137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Checks</w:t>
            </w:r>
          </w:p>
        </w:tc>
        <w:tc>
          <w:tcPr>
            <w:tcW w:type="dxa" w:w="1368"/>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Result</w:t>
            </w:r>
          </w:p>
        </w:tc>
      </w:tr>
      <w:tr>
        <w:trPr>
          <w:cantSplit/>
        </w:trPr>
        <w:tc>
          <w:tcPr>
            <w:tcW w:type="dxa" w:w="69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custom-role SAR access (Craig)</w:t>
            </w:r>
          </w:p>
        </w:tc>
        <w:tc>
          <w:tcPr>
            <w:tcW w:type="dxa" w:w="137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4</w:t>
            </w:r>
          </w:p>
        </w:tc>
        <w:tc>
          <w:tcPr>
            <w:tcW w:type="dxa" w:w="136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8"/>
                <w:szCs w:val="18"/>
              </w:rPr>
              <w:t xml:space="preserve">All pass</w:t>
            </w:r>
          </w:p>
        </w:tc>
      </w:tr>
      <w:tr>
        <w:trPr>
          <w:cantSplit/>
        </w:trPr>
        <w:tc>
          <w:tcPr>
            <w:tcW w:type="dxa" w:w="69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SAR edit / delete permissions</w:t>
            </w:r>
          </w:p>
        </w:tc>
        <w:tc>
          <w:tcPr>
            <w:tcW w:type="dxa" w:w="137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11</w:t>
            </w:r>
          </w:p>
        </w:tc>
        <w:tc>
          <w:tcPr>
            <w:tcW w:type="dxa" w:w="136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8"/>
                <w:szCs w:val="18"/>
              </w:rPr>
              <w:t xml:space="preserve">All pass</w:t>
            </w:r>
          </w:p>
        </w:tc>
      </w:tr>
      <w:tr>
        <w:trPr>
          <w:cantSplit/>
        </w:trPr>
        <w:tc>
          <w:tcPr>
            <w:tcW w:type="dxa" w:w="69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SAR year folders</w:t>
            </w:r>
          </w:p>
        </w:tc>
        <w:tc>
          <w:tcPr>
            <w:tcW w:type="dxa" w:w="137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14</w:t>
            </w:r>
          </w:p>
        </w:tc>
        <w:tc>
          <w:tcPr>
            <w:tcW w:type="dxa" w:w="136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8"/>
                <w:szCs w:val="18"/>
              </w:rPr>
              <w:t xml:space="preserve">All pass</w:t>
            </w:r>
          </w:p>
        </w:tc>
      </w:tr>
      <w:tr>
        <w:trPr>
          <w:cantSplit/>
        </w:trPr>
        <w:tc>
          <w:tcPr>
            <w:tcW w:type="dxa" w:w="69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Self privilege-escalation via users/{uid}.permissions</w:t>
            </w:r>
          </w:p>
        </w:tc>
        <w:tc>
          <w:tcPr>
            <w:tcW w:type="dxa" w:w="137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4</w:t>
            </w:r>
          </w:p>
        </w:tc>
        <w:tc>
          <w:tcPr>
            <w:tcW w:type="dxa" w:w="136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8"/>
                <w:szCs w:val="18"/>
              </w:rPr>
              <w:t xml:space="preserve">All pass</w:t>
            </w:r>
          </w:p>
        </w:tc>
      </w:tr>
      <w:tr>
        <w:trPr>
          <w:cantSplit/>
        </w:trPr>
        <w:tc>
          <w:tcPr>
            <w:tcW w:type="dxa" w:w="69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IDOR on governance_concerns</w:t>
            </w:r>
          </w:p>
        </w:tc>
        <w:tc>
          <w:tcPr>
            <w:tcW w:type="dxa" w:w="137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5</w:t>
            </w:r>
          </w:p>
        </w:tc>
        <w:tc>
          <w:tcPr>
            <w:tcW w:type="dxa" w:w="136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8"/>
                <w:szCs w:val="18"/>
              </w:rPr>
              <w:t xml:space="preserve">All pass</w:t>
            </w:r>
          </w:p>
        </w:tc>
      </w:tr>
      <w:tr>
        <w:trPr>
          <w:cantSplit/>
        </w:trPr>
        <w:tc>
          <w:tcPr>
            <w:tcW w:type="dxa" w:w="69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Concern face-to-face meetings</w:t>
            </w:r>
          </w:p>
        </w:tc>
        <w:tc>
          <w:tcPr>
            <w:tcW w:type="dxa" w:w="137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12</w:t>
            </w:r>
          </w:p>
        </w:tc>
        <w:tc>
          <w:tcPr>
            <w:tcW w:type="dxa" w:w="136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8"/>
                <w:szCs w:val="18"/>
              </w:rPr>
              <w:t xml:space="preserve">All pass</w:t>
            </w:r>
          </w:p>
        </w:tc>
      </w:tr>
      <w:tr>
        <w:trPr>
          <w:cantSplit/>
        </w:trPr>
        <w:tc>
          <w:tcPr>
            <w:tcW w:type="dxa" w:w="69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Custom role 'admin.access' does NOT grant roles/{} writes</w:t>
            </w:r>
          </w:p>
        </w:tc>
        <w:tc>
          <w:tcPr>
            <w:tcW w:type="dxa" w:w="137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1</w:t>
            </w:r>
          </w:p>
        </w:tc>
        <w:tc>
          <w:tcPr>
            <w:tcW w:type="dxa" w:w="136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8"/>
                <w:szCs w:val="18"/>
              </w:rPr>
              <w:t xml:space="preserve">All pass</w:t>
            </w:r>
          </w:p>
        </w:tc>
      </w:tr>
      <w:tr>
        <w:trPr>
          <w:cantSplit/>
        </w:trPr>
        <w:tc>
          <w:tcPr>
            <w:tcW w:type="dxa" w:w="69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Unauthenticated access</w:t>
            </w:r>
          </w:p>
        </w:tc>
        <w:tc>
          <w:tcPr>
            <w:tcW w:type="dxa" w:w="137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3</w:t>
            </w:r>
          </w:p>
        </w:tc>
        <w:tc>
          <w:tcPr>
            <w:tcW w:type="dxa" w:w="136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8"/>
                <w:szCs w:val="18"/>
              </w:rPr>
              <w:t xml:space="preserve">All pass</w:t>
            </w:r>
          </w:p>
        </w:tc>
      </w:tr>
      <w:tr>
        <w:trPr>
          <w:cantSplit/>
        </w:trPr>
        <w:tc>
          <w:tcPr>
            <w:tcW w:type="dxa" w:w="69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ClinFlow tenant isolation ('primary' wildcard)</w:t>
            </w:r>
          </w:p>
        </w:tc>
        <w:tc>
          <w:tcPr>
            <w:tcW w:type="dxa" w:w="137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2</w:t>
            </w:r>
          </w:p>
        </w:tc>
        <w:tc>
          <w:tcPr>
            <w:tcW w:type="dxa" w:w="136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8"/>
                <w:szCs w:val="18"/>
              </w:rPr>
              <w:t xml:space="preserve">All pass</w:t>
            </w:r>
          </w:p>
        </w:tc>
      </w:tr>
      <w:tr>
        <w:trPr>
          <w:cantSplit/>
        </w:trPr>
        <w:tc>
          <w:tcPr>
            <w:tcW w:type="dxa" w:w="69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Admin-only user management</w:t>
            </w:r>
          </w:p>
        </w:tc>
        <w:tc>
          <w:tcPr>
            <w:tcW w:type="dxa" w:w="137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3</w:t>
            </w:r>
          </w:p>
        </w:tc>
        <w:tc>
          <w:tcPr>
            <w:tcW w:type="dxa" w:w="136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8"/>
                <w:szCs w:val="18"/>
              </w:rPr>
              <w:t xml:space="preserve">All pass</w:t>
            </w:r>
          </w:p>
        </w:tc>
      </w:tr>
      <w:tr>
        <w:trPr>
          <w:cantSplit/>
        </w:trPr>
        <w:tc>
          <w:tcPr>
            <w:tcW w:type="dxa" w:w="69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Invites (legacy self-registration)</w:t>
            </w:r>
          </w:p>
        </w:tc>
        <w:tc>
          <w:tcPr>
            <w:tcW w:type="dxa" w:w="137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8"/>
                <w:szCs w:val="18"/>
              </w:rPr>
              <w:t xml:space="preserve">4</w:t>
            </w:r>
          </w:p>
        </w:tc>
        <w:tc>
          <w:tcPr>
            <w:tcW w:type="dxa" w:w="136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8"/>
                <w:szCs w:val="18"/>
              </w:rPr>
              <w:t xml:space="preserve">All pass</w:t>
            </w:r>
          </w:p>
        </w:tc>
      </w:tr>
      <w:tr>
        <w:trPr>
          <w:cantSplit/>
        </w:trPr>
        <w:tc>
          <w:tcPr>
            <w:tcW w:type="dxa" w:w="69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8"/>
                <w:szCs w:val="18"/>
              </w:rPr>
              <w:t xml:space="preserve">Total</w:t>
            </w:r>
          </w:p>
        </w:tc>
        <w:tc>
          <w:tcPr>
            <w:tcW w:type="dxa" w:w="137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8"/>
                <w:szCs w:val="18"/>
              </w:rPr>
              <w:t xml:space="preserve">63</w:t>
            </w:r>
          </w:p>
        </w:tc>
        <w:tc>
          <w:tcPr>
            <w:tcW w:type="dxa" w:w="136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b/>
                <w:bCs/>
                <w:color w:val="1F2933"/>
                <w:sz w:val="18"/>
                <w:szCs w:val="18"/>
              </w:rPr>
              <w:t xml:space="preserve">63 pass</w:t>
            </w:r>
          </w:p>
        </w:tc>
      </w:tr>
    </w:tbl>
    <w:p>
      <w:pPr>
        <w:spacing w:after="100"/>
      </w:pPr>
    </w:p>
    <w:p>
      <w:pPr>
        <w:pStyle w:val="Heading2"/>
        <w:keepNext/>
        <w:spacing w:after="100" w:before="240"/>
      </w:pPr>
      <w:r>
        <w:rPr>
          <w:rFonts w:ascii="Calibri" w:cs="Calibri" w:eastAsia="Calibri" w:hAnsi="Calibri"/>
          <w:b/>
          <w:bCs/>
          <w:color w:val="12324F"/>
          <w:sz w:val="24"/>
          <w:szCs w:val="24"/>
        </w:rPr>
        <w:t xml:space="preserve">Other checks made between 18 and 21 September</w:t>
      </w:r>
    </w:p>
    <w:p>
      <w:pPr>
        <w:pStyle w:val="ListParagraph"/>
        <w:numPr>
          <w:ilvl w:val="0"/>
          <w:numId w:val="2"/>
        </w:numPr>
        <w:spacing w:after="70" w:line="276"/>
      </w:pPr>
      <w:r>
        <w:rPr>
          <w:b/>
          <w:bCs/>
          <w:color w:val="1F2933"/>
          <w:sz w:val="21"/>
          <w:szCs w:val="21"/>
        </w:rPr>
        <w:t xml:space="preserve">Hostile input in printing.</w:t>
      </w:r>
      <w:r>
        <w:rPr>
          <w:color w:val="1F2933"/>
          <w:sz w:val="21"/>
          <w:szCs w:val="21"/>
        </w:rPr>
        <w:t xml:space="preserve"> The Concerns case-summary print was tested with values containing script and image-error tags. Nothing executed and nothing was created; the values printed as plain text.</w:t>
      </w:r>
    </w:p>
    <w:p>
      <w:pPr>
        <w:pStyle w:val="ListParagraph"/>
        <w:numPr>
          <w:ilvl w:val="0"/>
          <w:numId w:val="2"/>
        </w:numPr>
        <w:spacing w:after="70" w:line="276"/>
      </w:pPr>
      <w:r>
        <w:rPr>
          <w:b/>
          <w:bCs/>
          <w:color w:val="1F2933"/>
          <w:sz w:val="21"/>
          <w:szCs w:val="21"/>
        </w:rPr>
        <w:t xml:space="preserve">Save-retry changes do not hide real refusals.</w:t>
      </w:r>
      <w:r>
        <w:rPr>
          <w:color w:val="1F2933"/>
          <w:sz w:val="21"/>
          <w:szCs w:val="21"/>
        </w:rPr>
        <w:t xml:space="preserve"> A change to stop duplicate records when a connection drops was tested against the real rules on records that cannot be edited after creation. A genuine "permission denied" (for example a user trying to write as someone else, or a Reception user creating a supplier) still fails as it should. Only a write that really did succeed is treated as saved.</w:t>
      </w:r>
    </w:p>
    <w:p>
      <w:pPr>
        <w:pStyle w:val="ListParagraph"/>
        <w:numPr>
          <w:ilvl w:val="0"/>
          <w:numId w:val="2"/>
        </w:numPr>
        <w:spacing w:after="70" w:line="276"/>
      </w:pPr>
      <w:r>
        <w:rPr>
          <w:b/>
          <w:bCs/>
          <w:color w:val="1F2933"/>
          <w:sz w:val="21"/>
          <w:szCs w:val="21"/>
        </w:rPr>
        <w:t xml:space="preserve">Team-only queries.</w:t>
      </w:r>
      <w:r>
        <w:rPr>
          <w:color w:val="1F2933"/>
          <w:sz w:val="21"/>
          <w:szCs w:val="21"/>
        </w:rPr>
        <w:t xml:space="preserve"> The queries behind the new desktop corner alert (overdue SARs and concerns) were run against the rules for a SAR-team member, a Concerns-team member, an administrator, and people in neither team. Each team can read only its own records; people in neither team are refused. The alert itself shows counts only, with no reference numbers or case details, and the popup window holds no Firebase connection or app data.</w:t>
      </w:r>
    </w:p>
    <w:p>
      <w:pPr>
        <w:pStyle w:val="ListParagraph"/>
        <w:numPr>
          <w:ilvl w:val="0"/>
          <w:numId w:val="2"/>
        </w:numPr>
        <w:spacing w:after="70" w:line="276"/>
      </w:pPr>
      <w:r>
        <w:rPr>
          <w:b/>
          <w:bCs/>
          <w:color w:val="1F2933"/>
          <w:sz w:val="21"/>
          <w:szCs w:val="21"/>
        </w:rPr>
        <w:t xml:space="preserve">Local commands.</w:t>
      </w:r>
      <w:r>
        <w:rPr>
          <w:color w:val="1F2933"/>
          <w:sz w:val="21"/>
          <w:szCs w:val="21"/>
        </w:rPr>
        <w:t xml:space="preserve"> The command that receives the person's choice from the corner alert accepts only a fixed list of six actions (open, three snooze options, dismiss, timed out); anything else is rejected.</w:t>
      </w:r>
    </w:p>
    <w:p>
      <w:pPr>
        <w:pStyle w:val="Heading1"/>
        <w:keepNext/>
        <w:spacing w:after="140" w:before="360"/>
      </w:pPr>
      <w:r>
        <w:rPr>
          <w:rFonts w:ascii="Calibri" w:cs="Calibri" w:eastAsia="Calibri" w:hAnsi="Calibri"/>
          <w:b/>
          <w:bCs/>
          <w:color w:val="12324F"/>
          <w:sz w:val="30"/>
          <w:szCs w:val="30"/>
        </w:rPr>
        <w:t xml:space="preserve">8. Residual risks and recommendations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4100"/>
        <w:gridCol w:w="3688"/>
        <w:gridCol w:w="1200"/>
      </w:tblGrid>
      <w:tr>
        <w:trPr>
          <w:cantSplit/>
          <w:tblHeader/>
        </w:trPr>
        <w:tc>
          <w:tcPr>
            <w:tcW w:type="dxa" w:w="65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Ref</w:t>
            </w:r>
          </w:p>
        </w:tc>
        <w:tc>
          <w:tcPr>
            <w:tcW w:type="dxa" w:w="410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Residual risk</w:t>
            </w:r>
          </w:p>
        </w:tc>
        <w:tc>
          <w:tcPr>
            <w:tcW w:type="dxa" w:w="3688"/>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Recommendation</w:t>
            </w:r>
          </w:p>
        </w:tc>
        <w:tc>
          <w:tcPr>
            <w:tcW w:type="dxa" w:w="1200"/>
            <w:tcBorders>
              <w:top w:val="single" w:color="C9D1D8" w:sz="4"/>
              <w:left w:val="single" w:color="C9D1D8" w:sz="4"/>
              <w:bottom w:val="single" w:color="C9D1D8" w:sz="4"/>
              <w:right w:val="single" w:color="C9D1D8" w:sz="4"/>
            </w:tcBorders>
            <w:shd w:fill="E6ECF2" w:color="auto" w:val="clear"/>
            <w:tcMar>
              <w:top w:type="dxa" w:w="60"/>
              <w:left w:type="dxa" w:w="100"/>
              <w:bottom w:type="dxa" w:w="60"/>
              <w:right w:type="dxa" w:w="100"/>
            </w:tcMar>
          </w:tcPr>
          <w:p>
            <w:pPr>
              <w:spacing w:after="40" w:line="252"/>
            </w:pPr>
            <w:r>
              <w:rPr>
                <w:b/>
                <w:bCs/>
                <w:color w:val="12324F"/>
                <w:sz w:val="18"/>
                <w:szCs w:val="18"/>
              </w:rPr>
              <w:t xml:space="preserve">Rating</w:t>
            </w:r>
          </w:p>
        </w:tc>
      </w:tr>
      <w:tr>
        <w:trPr>
          <w:cantSplit/>
        </w:trPr>
        <w:tc>
          <w:tcPr>
            <w:tcW w:type="dxa" w:w="65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R1</w:t>
            </w:r>
          </w:p>
        </w:tc>
        <w:tc>
          <w:tcPr>
            <w:tcW w:type="dxa" w:w="4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Not an independent test.</w:t>
            </w:r>
            <w:r>
              <w:rPr>
                <w:color w:val="1F2933"/>
                <w:sz w:val="17"/>
                <w:szCs w:val="17"/>
              </w:rPr>
              <w:t xml:space="preserve"> This review was internal and AI-assisted.</w:t>
            </w:r>
          </w:p>
        </w:tc>
        <w:tc>
          <w:tcPr>
            <w:tcW w:type="dxa" w:w="368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Commission an accredited penetration test, proportionate to the risk, if the IG team or health board requires it. Give the tester this report and the attack suite.</w:t>
            </w:r>
          </w:p>
        </w:tc>
        <w:tc>
          <w:tcPr>
            <w:tcW w:type="dxa" w:w="1200"/>
            <w:tcBorders>
              <w:top w:val="single" w:color="C9D1D8" w:sz="4"/>
              <w:left w:val="single" w:color="C9D1D8" w:sz="4"/>
              <w:bottom w:val="single" w:color="C9D1D8" w:sz="4"/>
              <w:right w:val="single" w:color="C9D1D8" w:sz="4"/>
            </w:tcBorders>
            <w:shd w:fill="FCEFC7" w:color="auto" w:val="clear"/>
            <w:tcMar>
              <w:top w:type="dxa" w:w="60"/>
              <w:left w:type="dxa" w:w="100"/>
              <w:bottom w:type="dxa" w:w="60"/>
              <w:right w:type="dxa" w:w="100"/>
            </w:tcMar>
          </w:tcPr>
          <w:p>
            <w:pPr>
              <w:spacing w:after="40" w:line="252"/>
            </w:pPr>
            <w:r>
              <w:rPr>
                <w:color w:val="1F2933"/>
                <w:sz w:val="17"/>
                <w:szCs w:val="17"/>
              </w:rPr>
              <w:t xml:space="preserve">Medium</w:t>
            </w:r>
          </w:p>
        </w:tc>
      </w:tr>
      <w:tr>
        <w:trPr>
          <w:cantSplit/>
        </w:trPr>
        <w:tc>
          <w:tcPr>
            <w:tcW w:type="dxa" w:w="65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R2</w:t>
            </w:r>
          </w:p>
        </w:tc>
        <w:tc>
          <w:tcPr>
            <w:tcW w:type="dxa" w:w="4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React Router advisories (2 moderate).</w:t>
            </w:r>
            <w:r>
              <w:rPr>
                <w:color w:val="1F2933"/>
                <w:sz w:val="17"/>
                <w:szCs w:val="17"/>
              </w:rPr>
              <w:t xml:space="preserve"> The fix needs a major version upgrade (v6 to v7). The advisory concerns server-side page rendering, which this client-only app does not use, so practical exposure is believed to be low.</w:t>
            </w:r>
          </w:p>
        </w:tc>
        <w:tc>
          <w:tcPr>
            <w:tcW w:type="dxa" w:w="368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Do the upgrade as its own tested change, then re-run </w:t>
            </w:r>
            <w:r>
              <w:rPr>
                <w:rFonts w:ascii="Consolas" w:cs="Consolas" w:eastAsia="Consolas" w:hAnsi="Consolas"/>
                <w:color w:val="1F2933"/>
                <w:sz w:val="15"/>
                <w:szCs w:val="15"/>
              </w:rPr>
              <w:t xml:space="preserve">npm audit</w:t>
            </w:r>
            <w:r>
              <w:rPr>
                <w:color w:val="1F2933"/>
                <w:sz w:val="17"/>
                <w:szCs w:val="17"/>
              </w:rPr>
              <w:t xml:space="preserve">.</w:t>
            </w:r>
          </w:p>
        </w:tc>
        <w:tc>
          <w:tcPr>
            <w:tcW w:type="dxa" w:w="1200"/>
            <w:tcBorders>
              <w:top w:val="single" w:color="C9D1D8" w:sz="4"/>
              <w:left w:val="single" w:color="C9D1D8" w:sz="4"/>
              <w:bottom w:val="single" w:color="C9D1D8" w:sz="4"/>
              <w:right w:val="single" w:color="C9D1D8" w:sz="4"/>
            </w:tcBorders>
            <w:shd w:fill="DDEBF8" w:color="auto" w:val="clear"/>
            <w:tcMar>
              <w:top w:type="dxa" w:w="60"/>
              <w:left w:type="dxa" w:w="100"/>
              <w:bottom w:type="dxa" w:w="60"/>
              <w:right w:type="dxa" w:w="100"/>
            </w:tcMar>
          </w:tcPr>
          <w:p>
            <w:pPr>
              <w:spacing w:after="40" w:line="252"/>
            </w:pPr>
            <w:r>
              <w:rPr>
                <w:color w:val="1F2933"/>
                <w:sz w:val="17"/>
                <w:szCs w:val="17"/>
              </w:rPr>
              <w:t xml:space="preserve">Low</w:t>
            </w:r>
          </w:p>
        </w:tc>
      </w:tr>
      <w:tr>
        <w:trPr>
          <w:cantSplit/>
        </w:trPr>
        <w:tc>
          <w:tcPr>
            <w:tcW w:type="dxa" w:w="65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R3</w:t>
            </w:r>
          </w:p>
        </w:tc>
        <w:tc>
          <w:tcPr>
            <w:tcW w:type="dxa" w:w="4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Firebase sign-up setting not verified.</w:t>
            </w:r>
            <w:r>
              <w:rPr>
                <w:color w:val="1F2933"/>
                <w:sz w:val="17"/>
                <w:szCs w:val="17"/>
              </w:rPr>
              <w:t xml:space="preserve"> The database rules stop a stranger with a new account from doing anything, but the console setting that stops such accounts being created at all was not checked by this review.</w:t>
            </w:r>
          </w:p>
        </w:tc>
        <w:tc>
          <w:tcPr>
            <w:tcW w:type="dxa" w:w="368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In the Firebase console, Authentication, Settings, turn off "Enable create (sign-up)" if it is shown, and record that it was done.</w:t>
            </w:r>
          </w:p>
        </w:tc>
        <w:tc>
          <w:tcPr>
            <w:tcW w:type="dxa" w:w="1200"/>
            <w:tcBorders>
              <w:top w:val="single" w:color="C9D1D8" w:sz="4"/>
              <w:left w:val="single" w:color="C9D1D8" w:sz="4"/>
              <w:bottom w:val="single" w:color="C9D1D8" w:sz="4"/>
              <w:right w:val="single" w:color="C9D1D8" w:sz="4"/>
            </w:tcBorders>
            <w:shd w:fill="DDEBF8" w:color="auto" w:val="clear"/>
            <w:tcMar>
              <w:top w:type="dxa" w:w="60"/>
              <w:left w:type="dxa" w:w="100"/>
              <w:bottom w:type="dxa" w:w="60"/>
              <w:right w:type="dxa" w:w="100"/>
            </w:tcMar>
          </w:tcPr>
          <w:p>
            <w:pPr>
              <w:spacing w:after="40" w:line="252"/>
            </w:pPr>
            <w:r>
              <w:rPr>
                <w:color w:val="1F2933"/>
                <w:sz w:val="17"/>
                <w:szCs w:val="17"/>
              </w:rPr>
              <w:t xml:space="preserve">Low</w:t>
            </w:r>
          </w:p>
        </w:tc>
      </w:tr>
      <w:tr>
        <w:trPr>
          <w:cantSplit/>
        </w:trPr>
        <w:tc>
          <w:tcPr>
            <w:tcW w:type="dxa" w:w="65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R4</w:t>
            </w:r>
          </w:p>
        </w:tc>
        <w:tc>
          <w:tcPr>
            <w:tcW w:type="dxa" w:w="4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Reads of operational data are open to any signed-in user.</w:t>
            </w:r>
            <w:r>
              <w:rPr>
                <w:color w:val="1F2933"/>
                <w:sz w:val="17"/>
                <w:szCs w:val="17"/>
              </w:rPr>
              <w:t xml:space="preserve"> Stock, purchasing, supplier and temperature records can be read by anyone signed in (writes need the right capability). By design, and none holds patient-identifying data.</w:t>
            </w:r>
          </w:p>
        </w:tc>
        <w:tc>
          <w:tcPr>
            <w:tcW w:type="dxa" w:w="368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IG team to confirm this is acceptable. Tighten if any of those collections ever starts to hold personal data.</w:t>
            </w:r>
          </w:p>
        </w:tc>
        <w:tc>
          <w:tcPr>
            <w:tcW w:type="dxa" w:w="1200"/>
            <w:tcBorders>
              <w:top w:val="single" w:color="C9D1D8" w:sz="4"/>
              <w:left w:val="single" w:color="C9D1D8" w:sz="4"/>
              <w:bottom w:val="single" w:color="C9D1D8" w:sz="4"/>
              <w:right w:val="single" w:color="C9D1D8" w:sz="4"/>
            </w:tcBorders>
            <w:shd w:fill="DDEBF8" w:color="auto" w:val="clear"/>
            <w:tcMar>
              <w:top w:type="dxa" w:w="60"/>
              <w:left w:type="dxa" w:w="100"/>
              <w:bottom w:type="dxa" w:w="60"/>
              <w:right w:type="dxa" w:w="100"/>
            </w:tcMar>
          </w:tcPr>
          <w:p>
            <w:pPr>
              <w:spacing w:after="40" w:line="252"/>
            </w:pPr>
            <w:r>
              <w:rPr>
                <w:color w:val="1F2933"/>
                <w:sz w:val="17"/>
                <w:szCs w:val="17"/>
              </w:rPr>
              <w:t xml:space="preserve">Low</w:t>
            </w:r>
          </w:p>
        </w:tc>
      </w:tr>
      <w:tr>
        <w:trPr>
          <w:cantSplit/>
        </w:trPr>
        <w:tc>
          <w:tcPr>
            <w:tcW w:type="dxa" w:w="65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R5</w:t>
            </w:r>
          </w:p>
        </w:tc>
        <w:tc>
          <w:tcPr>
            <w:tcW w:type="dxa" w:w="4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A few low-sensitivity pages have no page-level guard</w:t>
            </w:r>
            <w:r>
              <w:rPr>
                <w:color w:val="1F2933"/>
                <w:sz w:val="17"/>
                <w:szCs w:val="17"/>
              </w:rPr>
              <w:t xml:space="preserve"> (Purchasing, Suppliers, Reorder Centre, Theme Lab, Security Centre). Changes to their data are blocked by the rules.</w:t>
            </w:r>
          </w:p>
        </w:tc>
        <w:tc>
          <w:tcPr>
            <w:tcW w:type="dxa" w:w="368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Add guards for consistency when convenient.</w:t>
            </w:r>
          </w:p>
        </w:tc>
        <w:tc>
          <w:tcPr>
            <w:tcW w:type="dxa" w:w="1200"/>
            <w:tcBorders>
              <w:top w:val="single" w:color="C9D1D8" w:sz="4"/>
              <w:left w:val="single" w:color="C9D1D8" w:sz="4"/>
              <w:bottom w:val="single" w:color="C9D1D8" w:sz="4"/>
              <w:right w:val="single" w:color="C9D1D8" w:sz="4"/>
            </w:tcBorders>
            <w:shd w:fill="DDEBF8" w:color="auto" w:val="clear"/>
            <w:tcMar>
              <w:top w:type="dxa" w:w="60"/>
              <w:left w:type="dxa" w:w="100"/>
              <w:bottom w:type="dxa" w:w="60"/>
              <w:right w:type="dxa" w:w="100"/>
            </w:tcMar>
          </w:tcPr>
          <w:p>
            <w:pPr>
              <w:spacing w:after="40" w:line="252"/>
            </w:pPr>
            <w:r>
              <w:rPr>
                <w:color w:val="1F2933"/>
                <w:sz w:val="17"/>
                <w:szCs w:val="17"/>
              </w:rPr>
              <w:t xml:space="preserve">Low</w:t>
            </w:r>
          </w:p>
        </w:tc>
      </w:tr>
      <w:tr>
        <w:trPr>
          <w:cantSplit/>
        </w:trPr>
        <w:tc>
          <w:tcPr>
            <w:tcW w:type="dxa" w:w="65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R6</w:t>
            </w:r>
          </w:p>
        </w:tc>
        <w:tc>
          <w:tcPr>
            <w:tcW w:type="dxa" w:w="4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Cloud Functions were not attacked live.</w:t>
            </w:r>
            <w:r>
              <w:rPr>
                <w:color w:val="1F2933"/>
                <w:sz w:val="17"/>
                <w:szCs w:val="17"/>
              </w:rPr>
              <w:t xml:space="preserve"> They were reviewed and fixed, but not exercised with hostile input.</w:t>
            </w:r>
          </w:p>
        </w:tc>
        <w:tc>
          <w:tcPr>
            <w:tcW w:type="dxa" w:w="368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Add function-level tests using the emulator; include them in any independent test.</w:t>
            </w:r>
          </w:p>
        </w:tc>
        <w:tc>
          <w:tcPr>
            <w:tcW w:type="dxa" w:w="1200"/>
            <w:tcBorders>
              <w:top w:val="single" w:color="C9D1D8" w:sz="4"/>
              <w:left w:val="single" w:color="C9D1D8" w:sz="4"/>
              <w:bottom w:val="single" w:color="C9D1D8" w:sz="4"/>
              <w:right w:val="single" w:color="C9D1D8" w:sz="4"/>
            </w:tcBorders>
            <w:shd w:fill="FCEFC7" w:color="auto" w:val="clear"/>
            <w:tcMar>
              <w:top w:type="dxa" w:w="60"/>
              <w:left w:type="dxa" w:w="100"/>
              <w:bottom w:type="dxa" w:w="60"/>
              <w:right w:type="dxa" w:w="100"/>
            </w:tcMar>
          </w:tcPr>
          <w:p>
            <w:pPr>
              <w:spacing w:after="40" w:line="252"/>
            </w:pPr>
            <w:r>
              <w:rPr>
                <w:color w:val="1F2933"/>
                <w:sz w:val="17"/>
                <w:szCs w:val="17"/>
              </w:rPr>
              <w:t xml:space="preserve">Medium</w:t>
            </w:r>
          </w:p>
        </w:tc>
      </w:tr>
      <w:tr>
        <w:trPr>
          <w:cantSplit/>
        </w:trPr>
        <w:tc>
          <w:tcPr>
            <w:tcW w:type="dxa" w:w="65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R7</w:t>
            </w:r>
          </w:p>
        </w:tc>
        <w:tc>
          <w:tcPr>
            <w:tcW w:type="dxa" w:w="4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Android enforcement of the Content-Security-Policy</w:t>
            </w:r>
            <w:r>
              <w:rPr>
                <w:color w:val="1F2933"/>
                <w:sz w:val="17"/>
                <w:szCs w:val="17"/>
              </w:rPr>
              <w:t xml:space="preserve"> was verified in a desktop browser and the desktop installer, not independently on a phone.</w:t>
            </w:r>
          </w:p>
        </w:tc>
        <w:tc>
          <w:tcPr>
            <w:tcW w:type="dxa" w:w="368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Record the testers' confirmation that sign-in, inventory, QR viewing and scanning, and Sense/NFC work on Android.</w:t>
            </w:r>
          </w:p>
        </w:tc>
        <w:tc>
          <w:tcPr>
            <w:tcW w:type="dxa" w:w="1200"/>
            <w:tcBorders>
              <w:top w:val="single" w:color="C9D1D8" w:sz="4"/>
              <w:left w:val="single" w:color="C9D1D8" w:sz="4"/>
              <w:bottom w:val="single" w:color="C9D1D8" w:sz="4"/>
              <w:right w:val="single" w:color="C9D1D8" w:sz="4"/>
            </w:tcBorders>
            <w:shd w:fill="DDEBF8" w:color="auto" w:val="clear"/>
            <w:tcMar>
              <w:top w:type="dxa" w:w="60"/>
              <w:left w:type="dxa" w:w="100"/>
              <w:bottom w:type="dxa" w:w="60"/>
              <w:right w:type="dxa" w:w="100"/>
            </w:tcMar>
          </w:tcPr>
          <w:p>
            <w:pPr>
              <w:spacing w:after="40" w:line="252"/>
            </w:pPr>
            <w:r>
              <w:rPr>
                <w:color w:val="1F2933"/>
                <w:sz w:val="17"/>
                <w:szCs w:val="17"/>
              </w:rPr>
              <w:t xml:space="preserve">Low</w:t>
            </w:r>
          </w:p>
        </w:tc>
      </w:tr>
      <w:tr>
        <w:trPr>
          <w:cantSplit/>
        </w:trPr>
        <w:tc>
          <w:tcPr>
            <w:tcW w:type="dxa" w:w="65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R8</w:t>
            </w:r>
          </w:p>
        </w:tc>
        <w:tc>
          <w:tcPr>
            <w:tcW w:type="dxa" w:w="4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Inline styles still allowed</w:t>
            </w:r>
            <w:r>
              <w:rPr>
                <w:color w:val="1F2933"/>
                <w:sz w:val="17"/>
                <w:szCs w:val="17"/>
              </w:rPr>
              <w:t xml:space="preserve"> by the Content-Security-Policy. Scripts are strictly limited.</w:t>
            </w:r>
          </w:p>
        </w:tc>
        <w:tc>
          <w:tcPr>
            <w:tcW w:type="dxa" w:w="368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Remove the exception if the styling approach can be changed without breaking the app.</w:t>
            </w:r>
          </w:p>
        </w:tc>
        <w:tc>
          <w:tcPr>
            <w:tcW w:type="dxa" w:w="1200"/>
            <w:tcBorders>
              <w:top w:val="single" w:color="C9D1D8" w:sz="4"/>
              <w:left w:val="single" w:color="C9D1D8" w:sz="4"/>
              <w:bottom w:val="single" w:color="C9D1D8" w:sz="4"/>
              <w:right w:val="single" w:color="C9D1D8" w:sz="4"/>
            </w:tcBorders>
            <w:shd w:fill="DDEBF8" w:color="auto" w:val="clear"/>
            <w:tcMar>
              <w:top w:type="dxa" w:w="60"/>
              <w:left w:type="dxa" w:w="100"/>
              <w:bottom w:type="dxa" w:w="60"/>
              <w:right w:type="dxa" w:w="100"/>
            </w:tcMar>
          </w:tcPr>
          <w:p>
            <w:pPr>
              <w:spacing w:after="40" w:line="252"/>
            </w:pPr>
            <w:r>
              <w:rPr>
                <w:color w:val="1F2933"/>
                <w:sz w:val="17"/>
                <w:szCs w:val="17"/>
              </w:rPr>
              <w:t xml:space="preserve">Low</w:t>
            </w:r>
          </w:p>
        </w:tc>
      </w:tr>
      <w:tr>
        <w:trPr>
          <w:cantSplit/>
        </w:trPr>
        <w:tc>
          <w:tcPr>
            <w:tcW w:type="dxa" w:w="65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R9</w:t>
            </w:r>
          </w:p>
        </w:tc>
        <w:tc>
          <w:tcPr>
            <w:tcW w:type="dxa" w:w="4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Data on the device.</w:t>
            </w:r>
            <w:r>
              <w:rPr>
                <w:color w:val="1F2933"/>
                <w:sz w:val="17"/>
                <w:szCs w:val="17"/>
              </w:rPr>
              <w:t xml:space="preserve"> The PIN lock is not encryption. Protection of data held on a PC or phone depends on the device: Windows sign-in, disk encryption (BitLocker) and phone screen lock.</w:t>
            </w:r>
          </w:p>
        </w:tc>
        <w:tc>
          <w:tcPr>
            <w:tcW w:type="dxa" w:w="368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Practice policy: enable disk encryption and screen lock on every device that runs Primovex.</w:t>
            </w:r>
          </w:p>
        </w:tc>
        <w:tc>
          <w:tcPr>
            <w:tcW w:type="dxa" w:w="1200"/>
            <w:tcBorders>
              <w:top w:val="single" w:color="C9D1D8" w:sz="4"/>
              <w:left w:val="single" w:color="C9D1D8" w:sz="4"/>
              <w:bottom w:val="single" w:color="C9D1D8" w:sz="4"/>
              <w:right w:val="single" w:color="C9D1D8" w:sz="4"/>
            </w:tcBorders>
            <w:shd w:fill="FCEFC7" w:color="auto" w:val="clear"/>
            <w:tcMar>
              <w:top w:type="dxa" w:w="60"/>
              <w:left w:type="dxa" w:w="100"/>
              <w:bottom w:type="dxa" w:w="60"/>
              <w:right w:type="dxa" w:w="100"/>
            </w:tcMar>
          </w:tcPr>
          <w:p>
            <w:pPr>
              <w:spacing w:after="40" w:line="252"/>
            </w:pPr>
            <w:r>
              <w:rPr>
                <w:color w:val="1F2933"/>
                <w:sz w:val="17"/>
                <w:szCs w:val="17"/>
              </w:rPr>
              <w:t xml:space="preserve">Medium</w:t>
            </w:r>
          </w:p>
        </w:tc>
      </w:tr>
      <w:tr>
        <w:trPr>
          <w:cantSplit/>
        </w:trPr>
        <w:tc>
          <w:tcPr>
            <w:tcW w:type="dxa" w:w="65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R10</w:t>
            </w:r>
          </w:p>
        </w:tc>
        <w:tc>
          <w:tcPr>
            <w:tcW w:type="dxa" w:w="4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Two minor items from the access-control audit</w:t>
            </w:r>
            <w:r>
              <w:rPr>
                <w:color w:val="1F2933"/>
                <w:sz w:val="17"/>
                <w:szCs w:val="17"/>
              </w:rPr>
              <w:t xml:space="preserve"> (hard-coded role name on the Alerts page; role-label guess on a mobile screen) were not changed.</w:t>
            </w:r>
          </w:p>
        </w:tc>
        <w:tc>
          <w:tcPr>
            <w:tcW w:type="dxa" w:w="368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Tidy up; neither grants access to data.</w:t>
            </w:r>
          </w:p>
        </w:tc>
        <w:tc>
          <w:tcPr>
            <w:tcW w:type="dxa" w:w="1200"/>
            <w:tcBorders>
              <w:top w:val="single" w:color="C9D1D8" w:sz="4"/>
              <w:left w:val="single" w:color="C9D1D8" w:sz="4"/>
              <w:bottom w:val="single" w:color="C9D1D8" w:sz="4"/>
              <w:right w:val="single" w:color="C9D1D8" w:sz="4"/>
            </w:tcBorders>
            <w:shd w:fill="DDEBF8" w:color="auto" w:val="clear"/>
            <w:tcMar>
              <w:top w:type="dxa" w:w="60"/>
              <w:left w:type="dxa" w:w="100"/>
              <w:bottom w:type="dxa" w:w="60"/>
              <w:right w:type="dxa" w:w="100"/>
            </w:tcMar>
          </w:tcPr>
          <w:p>
            <w:pPr>
              <w:spacing w:after="40" w:line="252"/>
            </w:pPr>
            <w:r>
              <w:rPr>
                <w:color w:val="1F2933"/>
                <w:sz w:val="17"/>
                <w:szCs w:val="17"/>
              </w:rPr>
              <w:t xml:space="preserve">Low</w:t>
            </w:r>
          </w:p>
        </w:tc>
      </w:tr>
      <w:tr>
        <w:trPr>
          <w:cantSplit/>
        </w:trPr>
        <w:tc>
          <w:tcPr>
            <w:tcW w:type="dxa" w:w="65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R11</w:t>
            </w:r>
          </w:p>
        </w:tc>
        <w:tc>
          <w:tcPr>
            <w:tcW w:type="dxa" w:w="4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Role-editing capability is decorative (SR-13).</w:t>
            </w:r>
          </w:p>
        </w:tc>
        <w:tc>
          <w:tcPr>
            <w:tcW w:type="dxa" w:w="368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Confirm the intended policy, or grant Practice Manager role editing deliberately.</w:t>
            </w:r>
          </w:p>
        </w:tc>
        <w:tc>
          <w:tcPr>
            <w:tcW w:type="dxa" w:w="1200"/>
            <w:tcBorders>
              <w:top w:val="single" w:color="C9D1D8" w:sz="4"/>
              <w:left w:val="single" w:color="C9D1D8" w:sz="4"/>
              <w:bottom w:val="single" w:color="C9D1D8" w:sz="4"/>
              <w:right w:val="single" w:color="C9D1D8" w:sz="4"/>
            </w:tcBorders>
            <w:shd w:fill="ECEFF1" w:color="auto" w:val="clear"/>
            <w:tcMar>
              <w:top w:type="dxa" w:w="60"/>
              <w:left w:type="dxa" w:w="100"/>
              <w:bottom w:type="dxa" w:w="60"/>
              <w:right w:type="dxa" w:w="100"/>
            </w:tcMar>
          </w:tcPr>
          <w:p>
            <w:pPr>
              <w:spacing w:after="40" w:line="252"/>
            </w:pPr>
            <w:r>
              <w:rPr>
                <w:color w:val="1F2933"/>
                <w:sz w:val="17"/>
                <w:szCs w:val="17"/>
              </w:rPr>
              <w:t xml:space="preserve">Info</w:t>
            </w:r>
          </w:p>
        </w:tc>
      </w:tr>
      <w:tr>
        <w:trPr>
          <w:cantSplit/>
        </w:trPr>
        <w:tc>
          <w:tcPr>
            <w:tcW w:type="dxa" w:w="65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R12</w:t>
            </w:r>
          </w:p>
        </w:tc>
        <w:tc>
          <w:tcPr>
            <w:tcW w:type="dxa" w:w="4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The suite only helps if it is re-run.</w:t>
            </w:r>
            <w:r>
              <w:rPr>
                <w:color w:val="1F2933"/>
                <w:sz w:val="17"/>
                <w:szCs w:val="17"/>
              </w:rPr>
              <w:t xml:space="preserve"> It is now stored in the code repository (docs/security/attack-suite), but nothing forces it to run after a rules change.</w:t>
            </w:r>
          </w:p>
        </w:tc>
        <w:tc>
          <w:tcPr>
            <w:tcW w:type="dxa" w:w="368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Re-run it after every change to the database rules, and consider running it automatically before each release.</w:t>
            </w:r>
          </w:p>
        </w:tc>
        <w:tc>
          <w:tcPr>
            <w:tcW w:type="dxa" w:w="1200"/>
            <w:tcBorders>
              <w:top w:val="single" w:color="C9D1D8" w:sz="4"/>
              <w:left w:val="single" w:color="C9D1D8" w:sz="4"/>
              <w:bottom w:val="single" w:color="C9D1D8" w:sz="4"/>
              <w:right w:val="single" w:color="C9D1D8" w:sz="4"/>
            </w:tcBorders>
            <w:shd w:fill="FCEFC7" w:color="auto" w:val="clear"/>
            <w:tcMar>
              <w:top w:type="dxa" w:w="60"/>
              <w:left w:type="dxa" w:w="100"/>
              <w:bottom w:type="dxa" w:w="60"/>
              <w:right w:type="dxa" w:w="100"/>
            </w:tcMar>
          </w:tcPr>
          <w:p>
            <w:pPr>
              <w:spacing w:after="40" w:line="252"/>
            </w:pPr>
            <w:r>
              <w:rPr>
                <w:color w:val="1F2933"/>
                <w:sz w:val="17"/>
                <w:szCs w:val="17"/>
              </w:rPr>
              <w:t xml:space="preserve">Medium</w:t>
            </w:r>
          </w:p>
        </w:tc>
      </w:tr>
      <w:tr>
        <w:trPr>
          <w:cantSplit/>
        </w:trPr>
        <w:tc>
          <w:tcPr>
            <w:tcW w:type="dxa" w:w="65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R13</w:t>
            </w:r>
          </w:p>
        </w:tc>
        <w:tc>
          <w:tcPr>
            <w:tcW w:type="dxa" w:w="41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b/>
                <w:bCs/>
                <w:color w:val="1F2933"/>
                <w:sz w:val="17"/>
                <w:szCs w:val="17"/>
              </w:rPr>
              <w:t xml:space="preserve">Point-in-time review.</w:t>
            </w:r>
            <w:r>
              <w:rPr>
                <w:color w:val="1F2933"/>
                <w:sz w:val="17"/>
                <w:szCs w:val="17"/>
              </w:rPr>
              <w:t xml:space="preserve"> This describes the position at 21 September 2026.</w:t>
            </w:r>
          </w:p>
        </w:tc>
        <w:tc>
          <w:tcPr>
            <w:tcW w:type="dxa" w:w="3688"/>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Repeat after material changes, and at least annually.</w:t>
            </w:r>
          </w:p>
        </w:tc>
        <w:tc>
          <w:tcPr>
            <w:tcW w:type="dxa" w:w="1200"/>
            <w:tcBorders>
              <w:top w:val="single" w:color="C9D1D8" w:sz="4"/>
              <w:left w:val="single" w:color="C9D1D8" w:sz="4"/>
              <w:bottom w:val="single" w:color="C9D1D8" w:sz="4"/>
              <w:right w:val="single" w:color="C9D1D8" w:sz="4"/>
            </w:tcBorders>
            <w:shd w:fill="DDEBF8" w:color="auto" w:val="clear"/>
            <w:tcMar>
              <w:top w:type="dxa" w:w="60"/>
              <w:left w:type="dxa" w:w="100"/>
              <w:bottom w:type="dxa" w:w="60"/>
              <w:right w:type="dxa" w:w="100"/>
            </w:tcMar>
          </w:tcPr>
          <w:p>
            <w:pPr>
              <w:spacing w:after="40" w:line="252"/>
            </w:pPr>
            <w:r>
              <w:rPr>
                <w:color w:val="1F2933"/>
                <w:sz w:val="17"/>
                <w:szCs w:val="17"/>
              </w:rPr>
              <w:t xml:space="preserve">Low</w:t>
            </w:r>
          </w:p>
        </w:tc>
      </w:tr>
    </w:tbl>
    <w:p>
      <w:pPr>
        <w:spacing w:after="100"/>
      </w:pPr>
    </w:p>
    <w:p>
      <w:pPr>
        <w:spacing w:after="120" w:line="288"/>
      </w:pPr>
      <w:r>
        <w:rPr>
          <w:b/>
          <w:bCs/>
          <w:color w:val="1F2933"/>
          <w:sz w:val="21"/>
          <w:szCs w:val="21"/>
        </w:rPr>
        <w:t xml:space="preserve">Sign-off.</w:t>
      </w:r>
      <w:r>
        <w:rPr>
          <w:color w:val="1F2933"/>
          <w:sz w:val="21"/>
          <w:szCs w:val="21"/>
        </w:rPr>
        <w:t xml:space="preserve"> This document is technical evidence to support the DPIA. It does not replace a DPIA, and it is not a sign-off. Formal sign-off rests with the practice's DPO and Caldicott Guardian, and, if applicable, the health board's IG team.</w:t>
      </w:r>
    </w:p>
    <w:p>
      <w:r>
        <w:br w:type="page"/>
      </w:r>
    </w:p>
    <w:p>
      <w:pPr>
        <w:pStyle w:val="Heading1"/>
        <w:keepNext/>
        <w:spacing w:after="140" w:before="360"/>
      </w:pPr>
      <w:r>
        <w:rPr>
          <w:rFonts w:ascii="Calibri" w:cs="Calibri" w:eastAsia="Calibri" w:hAnsi="Calibri"/>
          <w:b/>
          <w:bCs/>
          <w:color w:val="12324F"/>
          <w:sz w:val="30"/>
          <w:szCs w:val="30"/>
        </w:rPr>
        <w:t xml:space="preserve">Appendix A. The 63 attack-suite checks</w:t>
      </w:r>
    </w:p>
    <w:p>
      <w:pPr>
        <w:spacing w:after="120" w:line="288"/>
      </w:pPr>
      <w:r>
        <w:rPr>
          <w:color w:val="1F2933"/>
          <w:sz w:val="21"/>
          <w:szCs w:val="21"/>
        </w:rPr>
        <w:t xml:space="preserve">Each line is one check. A check passes when the rules behave as intended: a refusal where access should be refused, and success where a legitimate user must still be able to work. Results are from the run on 21 September 2026.</w:t>
      </w:r>
    </w:p>
    <w:p>
      <w:pPr>
        <w:pStyle w:val="Heading2"/>
        <w:keepNext/>
        <w:spacing w:after="100" w:before="240"/>
      </w:pPr>
      <w:r>
        <w:rPr>
          <w:rFonts w:ascii="Calibri" w:cs="Calibri" w:eastAsia="Calibri" w:hAnsi="Calibri"/>
          <w:b/>
          <w:bCs/>
          <w:color w:val="12324F"/>
          <w:sz w:val="24"/>
          <w:szCs w:val="24"/>
        </w:rPr>
        <w:t xml:space="preserve">custom-role SAR access (Craig)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0"/>
        <w:gridCol w:w="638"/>
      </w:tblGrid>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Craig (Medical Secretary, has governance.manageSars) CAN create a SAR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ReadOnly (no governance.manageSars) CANNOT create a SAR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User with no relationship to sar-1 CANNOT read it</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Craig (assignedToUid on sar-1) CAN read sar-1</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bl>
    <w:p>
      <w:pPr>
        <w:pStyle w:val="Heading2"/>
        <w:keepNext/>
        <w:spacing w:after="100" w:before="240"/>
      </w:pPr>
      <w:r>
        <w:rPr>
          <w:rFonts w:ascii="Calibri" w:cs="Calibri" w:eastAsia="Calibri" w:hAnsi="Calibri"/>
          <w:b/>
          <w:bCs/>
          <w:color w:val="12324F"/>
          <w:sz w:val="24"/>
          <w:szCs w:val="24"/>
        </w:rPr>
        <w:t xml:space="preserve">SAR edit / delete permissions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0"/>
        <w:gridCol w:w="638"/>
      </w:tblGrid>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SAR team member (Craig) CAN edit a SAR incl. the new requester-name field</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ReadOnly user CANNOT edit a SAR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Partner (read-only oversight) CANNOT edit a SAR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ReadOnly user CANNOT delete a SAR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Partner CANNOT delete a SAR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Plain User (no manageSars) CANNOT delete a SAR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Anonymous CANNOT delete a SAR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SAR team member (Craig) CAN delete a SAR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Craig can then write the trailing deleted-activity entry</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...and activity entries stay append-only (cannot be deleted)</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Admin CAN still delete a SAR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bl>
    <w:p>
      <w:pPr>
        <w:pStyle w:val="Heading2"/>
        <w:keepNext/>
        <w:spacing w:after="100" w:before="240"/>
      </w:pPr>
      <w:r>
        <w:rPr>
          <w:rFonts w:ascii="Calibri" w:cs="Calibri" w:eastAsia="Calibri" w:hAnsi="Calibri"/>
          <w:b/>
          <w:bCs/>
          <w:color w:val="12324F"/>
          <w:sz w:val="24"/>
          <w:szCs w:val="24"/>
        </w:rPr>
        <w:t xml:space="preserve">SAR year folders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0"/>
        <w:gridCol w:w="638"/>
      </w:tblGrid>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SAR team member (Craig) CAN create a year folder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ReadOnly user CANNOT create a year folder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Partner (read-only oversight) CANNOT create a year folder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Anonymous CANNOT create a year folder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Year folder must be created as yourself (createdByUid spoof refused)</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Year folder id must be a real year ("abcd" refused)</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Year folder id and year field must agree (id 2030, year 2031 refused)</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Year folder cannot carry extra fields</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Year folders are never edited (update refused, even for the SAR team)</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SAR team can READ year folders</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Partner can READ year folders (oversight)</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ReadOnly user CANNOT read year folders</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ReadOnly user CANNOT delete a year folder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SAR team member CAN delete a year folder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bl>
    <w:p>
      <w:pPr>
        <w:pStyle w:val="Heading2"/>
        <w:keepNext/>
        <w:spacing w:after="100" w:before="240"/>
      </w:pPr>
      <w:r>
        <w:rPr>
          <w:rFonts w:ascii="Calibri" w:cs="Calibri" w:eastAsia="Calibri" w:hAnsi="Calibri"/>
          <w:b/>
          <w:bCs/>
          <w:color w:val="12324F"/>
          <w:sz w:val="24"/>
          <w:szCs w:val="24"/>
        </w:rPr>
        <w:t xml:space="preserve">Self privilege-escalation via users/{uid}.permissions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0"/>
        <w:gridCol w:w="638"/>
      </w:tblGrid>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Partner (no inventory.write) is denied a stock_items write BEFORE self-escalation attempt</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Partner CAN set permissions:['*'] on their OWN profile (role unchanged)</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...but that self-set permissions field grants NOTHING (stock_items write still denied)</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Partner CANNOT change their own role field</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bl>
    <w:p>
      <w:pPr>
        <w:pStyle w:val="Heading2"/>
        <w:keepNext/>
        <w:spacing w:after="100" w:before="240"/>
      </w:pPr>
      <w:r>
        <w:rPr>
          <w:rFonts w:ascii="Calibri" w:cs="Calibri" w:eastAsia="Calibri" w:hAnsi="Calibri"/>
          <w:b/>
          <w:bCs/>
          <w:color w:val="12324F"/>
          <w:sz w:val="24"/>
          <w:szCs w:val="24"/>
        </w:rPr>
        <w:t xml:space="preserve">IDOR on governance_concerns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0"/>
        <w:gridCol w:w="638"/>
      </w:tblGrid>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Uninvolved ReadOnly user CANNOT read concern-1</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Involved user (in involvedUserIds) CAN read concern-1</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Involved user CANNOT update concern-1 directly (not concerns team)</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Reception (concernsTeam capability) CAN update concern-1</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Partner (partnerAccess, read-only) CANNOT update concern-1</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bl>
    <w:p>
      <w:pPr>
        <w:pStyle w:val="Heading2"/>
        <w:keepNext/>
        <w:spacing w:after="100" w:before="240"/>
      </w:pPr>
      <w:r>
        <w:rPr>
          <w:rFonts w:ascii="Calibri" w:cs="Calibri" w:eastAsia="Calibri" w:hAnsi="Calibri"/>
          <w:b/>
          <w:bCs/>
          <w:color w:val="12324F"/>
          <w:sz w:val="24"/>
          <w:szCs w:val="24"/>
        </w:rPr>
        <w:t xml:space="preserve">Concern face-to-face meetings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0"/>
        <w:gridCol w:w="638"/>
      </w:tblGrid>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Concerns team (Reception) CAN create a meeting</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Concerns team CAN update a meeting (record the outcome)</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Person involved in the case CAN read its meetings</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Person involved in the case CANNOT create a meeting</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Person involved in the case CANNOT edit a meeting</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Partner (oversight) CAN read meetings</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Partner CANNOT create or edit a meeting</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Uninvolved ReadOnly user CANNOT read a meeting</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Uninvolved ReadOnly user CANNOT create a meeting</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Anonymous CANNOT read a meeting</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Concerns team CANNOT delete a meeting (admin only)</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Admin CAN delete a meeting</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bl>
    <w:p>
      <w:pPr>
        <w:pStyle w:val="Heading2"/>
        <w:keepNext/>
        <w:spacing w:after="100" w:before="240"/>
      </w:pPr>
      <w:r>
        <w:rPr>
          <w:rFonts w:ascii="Calibri" w:cs="Calibri" w:eastAsia="Calibri" w:hAnsi="Calibri"/>
          <w:b/>
          <w:bCs/>
          <w:color w:val="12324F"/>
          <w:sz w:val="24"/>
          <w:szCs w:val="24"/>
        </w:rPr>
        <w:t xml:space="preserve">Custom role 'admin.access' does NOT grant roles/{} writes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0"/>
        <w:gridCol w:w="638"/>
      </w:tblGrid>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IT custom role (has admin.access) is DENIED writing to roles/{} (System Admin only, by design)</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bl>
    <w:p>
      <w:pPr>
        <w:pStyle w:val="Heading2"/>
        <w:keepNext/>
        <w:spacing w:after="100" w:before="240"/>
      </w:pPr>
      <w:r>
        <w:rPr>
          <w:rFonts w:ascii="Calibri" w:cs="Calibri" w:eastAsia="Calibri" w:hAnsi="Calibri"/>
          <w:b/>
          <w:bCs/>
          <w:color w:val="12324F"/>
          <w:sz w:val="24"/>
          <w:szCs w:val="24"/>
        </w:rPr>
        <w:t xml:space="preserve">Unauthenticated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0"/>
        <w:gridCol w:w="638"/>
      </w:tblGrid>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Anonymous user CANNOT read stock_items</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Anonymous user CANNOT read governance_sars</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Anonymous user CANNOT list roles</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bl>
    <w:p>
      <w:pPr>
        <w:pStyle w:val="Heading2"/>
        <w:keepNext/>
        <w:spacing w:after="100" w:before="240"/>
      </w:pPr>
      <w:r>
        <w:rPr>
          <w:rFonts w:ascii="Calibri" w:cs="Calibri" w:eastAsia="Calibri" w:hAnsi="Calibri"/>
          <w:b/>
          <w:bCs/>
          <w:color w:val="12324F"/>
          <w:sz w:val="24"/>
          <w:szCs w:val="24"/>
        </w:rPr>
        <w:t xml:space="preserve">ClinFlow tenant isolation ('primary' wildcard)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0"/>
        <w:gridCol w:w="638"/>
      </w:tblGrid>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User at site-a CAN read a record tagged practiceId:'primary' (documented wildcard)</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User at site-a CANNOT read a record tagged practiceId:'site-b' (real tenant isolation holds)</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bl>
    <w:p>
      <w:pPr>
        <w:pStyle w:val="Heading2"/>
        <w:keepNext/>
        <w:spacing w:after="100" w:before="240"/>
      </w:pPr>
      <w:r>
        <w:rPr>
          <w:rFonts w:ascii="Calibri" w:cs="Calibri" w:eastAsia="Calibri" w:hAnsi="Calibri"/>
          <w:b/>
          <w:bCs/>
          <w:color w:val="12324F"/>
          <w:sz w:val="24"/>
          <w:szCs w:val="24"/>
        </w:rPr>
        <w:t xml:space="preserve">Admin-only user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0"/>
        <w:gridCol w:w="638"/>
      </w:tblGrid>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Non-admin (User role) CANNOT delete another user's profile</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Non-admin CANNOT self-register with role Practice Manager</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Stranger with a fresh Auth account CANNOT self-create a User profile (self-signup closed)</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bl>
    <w:p>
      <w:pPr>
        <w:pStyle w:val="Heading2"/>
        <w:keepNext/>
        <w:spacing w:after="100" w:before="240"/>
      </w:pPr>
      <w:r>
        <w:rPr>
          <w:rFonts w:ascii="Calibri" w:cs="Calibri" w:eastAsia="Calibri" w:hAnsi="Calibri"/>
          <w:b/>
          <w:bCs/>
          <w:color w:val="12324F"/>
          <w:sz w:val="24"/>
          <w:szCs w:val="24"/>
        </w:rPr>
        <w:t xml:space="preserve">Invites (legacy self-registration)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0"/>
        <w:gridCol w:w="638"/>
      </w:tblGrid>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Unauthenticated user CANNOT read an invite (legacy flow locked)</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Signed-in user with a different email CANNOT claim an invite</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Even the matching-email invitee CANNOT redeem an invite (legacy flow removed)</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r>
        <w:trPr>
          <w:cantSplit/>
        </w:trPr>
        <w:tc>
          <w:tcPr>
            <w:tcW w:type="dxa" w:w="9000"/>
            <w:tcBorders>
              <w:top w:val="single" w:color="C9D1D8" w:sz="4"/>
              <w:left w:val="single" w:color="C9D1D8" w:sz="4"/>
              <w:bottom w:val="single" w:color="C9D1D8" w:sz="4"/>
              <w:right w:val="single" w:color="C9D1D8" w:sz="4"/>
            </w:tcBorders>
            <w:tcMar>
              <w:top w:type="dxa" w:w="60"/>
              <w:left w:type="dxa" w:w="100"/>
              <w:bottom w:type="dxa" w:w="60"/>
              <w:right w:type="dxa" w:w="100"/>
            </w:tcMar>
          </w:tcPr>
          <w:p>
            <w:pPr>
              <w:spacing w:after="40" w:line="252"/>
            </w:pPr>
            <w:r>
              <w:rPr>
                <w:color w:val="1F2933"/>
                <w:sz w:val="17"/>
                <w:szCs w:val="17"/>
              </w:rPr>
              <w:t xml:space="preserve">Admin CAN still create a user profile</w:t>
            </w:r>
          </w:p>
        </w:tc>
        <w:tc>
          <w:tcPr>
            <w:tcW w:type="dxa" w:w="638"/>
            <w:tcBorders>
              <w:top w:val="single" w:color="C9D1D8" w:sz="4"/>
              <w:left w:val="single" w:color="C9D1D8" w:sz="4"/>
              <w:bottom w:val="single" w:color="C9D1D8" w:sz="4"/>
              <w:right w:val="single" w:color="C9D1D8" w:sz="4"/>
            </w:tcBorders>
            <w:shd w:fill="DFF1E6" w:color="auto" w:val="clear"/>
            <w:tcMar>
              <w:top w:type="dxa" w:w="60"/>
              <w:left w:type="dxa" w:w="100"/>
              <w:bottom w:type="dxa" w:w="60"/>
              <w:right w:type="dxa" w:w="100"/>
            </w:tcMar>
          </w:tcPr>
          <w:p>
            <w:pPr>
              <w:spacing w:after="40" w:line="252"/>
            </w:pPr>
            <w:r>
              <w:rPr>
                <w:color w:val="1F2933"/>
                <w:sz w:val="17"/>
                <w:szCs w:val="17"/>
              </w:rPr>
              <w:t xml:space="preserve">Pass</w:t>
            </w:r>
          </w:p>
        </w:tc>
      </w:tr>
    </w:tbl>
    <w:p>
      <w:pPr>
        <w:pStyle w:val="Heading1"/>
        <w:keepNext/>
        <w:spacing w:after="140" w:before="360"/>
      </w:pPr>
      <w:r>
        <w:rPr>
          <w:rFonts w:ascii="Calibri" w:cs="Calibri" w:eastAsia="Calibri" w:hAnsi="Calibri"/>
          <w:b/>
          <w:bCs/>
          <w:color w:val="12324F"/>
          <w:sz w:val="30"/>
          <w:szCs w:val="30"/>
        </w:rPr>
        <w:t xml:space="preserve">Appendix B. How to reproduce the test</w:t>
      </w:r>
    </w:p>
    <w:p>
      <w:pPr>
        <w:pStyle w:val="ListParagraph"/>
        <w:numPr>
          <w:ilvl w:val="0"/>
          <w:numId w:val="2"/>
        </w:numPr>
        <w:spacing w:after="70" w:line="276"/>
      </w:pPr>
      <w:r>
        <w:rPr>
          <w:color w:val="1F2933"/>
          <w:sz w:val="21"/>
          <w:szCs w:val="21"/>
        </w:rPr>
        <w:t xml:space="preserve">The suite is stored in the Primovex repository at </w:t>
      </w:r>
      <w:r>
        <w:rPr>
          <w:rFonts w:ascii="Consolas" w:cs="Consolas" w:eastAsia="Consolas" w:hAnsi="Consolas"/>
          <w:color w:val="1F2933"/>
          <w:sz w:val="19"/>
          <w:szCs w:val="19"/>
        </w:rPr>
        <w:t xml:space="preserve">docs/security/attack-suite</w:t>
      </w:r>
      <w:r>
        <w:rPr>
          <w:color w:val="1F2933"/>
          <w:sz w:val="21"/>
          <w:szCs w:val="21"/>
        </w:rPr>
        <w:t xml:space="preserve"> (with a short README), and a copy is supplied with this report.</w:t>
      </w:r>
    </w:p>
    <w:p>
      <w:pPr>
        <w:pStyle w:val="ListParagraph"/>
        <w:numPr>
          <w:ilvl w:val="0"/>
          <w:numId w:val="2"/>
        </w:numPr>
        <w:spacing w:after="70" w:line="276"/>
      </w:pPr>
      <w:r>
        <w:rPr>
          <w:color w:val="1F2933"/>
          <w:sz w:val="21"/>
          <w:szCs w:val="21"/>
        </w:rPr>
        <w:t xml:space="preserve">Install Java and the Firebase CLI. In that folder run </w:t>
      </w:r>
      <w:r>
        <w:rPr>
          <w:rFonts w:ascii="Consolas" w:cs="Consolas" w:eastAsia="Consolas" w:hAnsi="Consolas"/>
          <w:color w:val="1F2933"/>
          <w:sz w:val="19"/>
          <w:szCs w:val="19"/>
        </w:rPr>
        <w:t xml:space="preserve">npm install</w:t>
      </w:r>
      <w:r>
        <w:rPr>
          <w:color w:val="1F2933"/>
          <w:sz w:val="21"/>
          <w:szCs w:val="21"/>
        </w:rPr>
        <w:t xml:space="preserve">, which installs </w:t>
      </w:r>
      <w:r>
        <w:rPr>
          <w:rFonts w:ascii="Consolas" w:cs="Consolas" w:eastAsia="Consolas" w:hAnsi="Consolas"/>
          <w:color w:val="1F2933"/>
          <w:sz w:val="19"/>
          <w:szCs w:val="19"/>
        </w:rPr>
        <w:t xml:space="preserve">@firebase/rules-unit-testing</w:t>
      </w:r>
      <w:r>
        <w:rPr>
          <w:color w:val="1F2933"/>
          <w:sz w:val="21"/>
          <w:szCs w:val="21"/>
        </w:rPr>
        <w:t xml:space="preserve"> and the </w:t>
      </w:r>
      <w:r>
        <w:rPr>
          <w:rFonts w:ascii="Consolas" w:cs="Consolas" w:eastAsia="Consolas" w:hAnsi="Consolas"/>
          <w:color w:val="1F2933"/>
          <w:sz w:val="19"/>
          <w:szCs w:val="19"/>
        </w:rPr>
        <w:t xml:space="preserve">firebase</w:t>
      </w:r>
      <w:r>
        <w:rPr>
          <w:color w:val="1F2933"/>
          <w:sz w:val="21"/>
          <w:szCs w:val="21"/>
        </w:rPr>
        <w:t xml:space="preserve"> library.</w:t>
      </w:r>
    </w:p>
    <w:p>
      <w:pPr>
        <w:pStyle w:val="ListParagraph"/>
        <w:numPr>
          <w:ilvl w:val="0"/>
          <w:numId w:val="2"/>
        </w:numPr>
        <w:spacing w:after="70" w:line="276"/>
      </w:pPr>
      <w:r>
        <w:rPr>
          <w:color w:val="1F2933"/>
          <w:sz w:val="21"/>
          <w:szCs w:val="21"/>
        </w:rPr>
        <w:t xml:space="preserve">Start the emulators (authentication and Firestore only): </w:t>
      </w:r>
      <w:r>
        <w:rPr>
          <w:rFonts w:ascii="Consolas" w:cs="Consolas" w:eastAsia="Consolas" w:hAnsi="Consolas"/>
          <w:color w:val="1F2933"/>
          <w:sz w:val="19"/>
          <w:szCs w:val="19"/>
        </w:rPr>
        <w:t xml:space="preserve">firebase emulators:start --only auth,firestore</w:t>
      </w:r>
      <w:r>
        <w:rPr>
          <w:color w:val="1F2933"/>
          <w:sz w:val="21"/>
          <w:szCs w:val="21"/>
        </w:rPr>
        <w:t xml:space="preserve">. The suite expects Firestore on 127.0.0.1, port 8080.</w:t>
      </w:r>
    </w:p>
    <w:p>
      <w:pPr>
        <w:pStyle w:val="ListParagraph"/>
        <w:numPr>
          <w:ilvl w:val="0"/>
          <w:numId w:val="2"/>
        </w:numPr>
        <w:spacing w:after="70" w:line="276"/>
      </w:pPr>
      <w:r>
        <w:rPr>
          <w:color w:val="1F2933"/>
          <w:sz w:val="21"/>
          <w:szCs w:val="21"/>
        </w:rPr>
        <w:t xml:space="preserve">Run the suite: </w:t>
      </w:r>
      <w:r>
        <w:rPr>
          <w:rFonts w:ascii="Consolas" w:cs="Consolas" w:eastAsia="Consolas" w:hAnsi="Consolas"/>
          <w:color w:val="1F2933"/>
          <w:sz w:val="19"/>
          <w:szCs w:val="19"/>
        </w:rPr>
        <w:t xml:space="preserve">npm test</w:t>
      </w:r>
      <w:r>
        <w:rPr>
          <w:color w:val="1F2933"/>
          <w:sz w:val="21"/>
          <w:szCs w:val="21"/>
        </w:rPr>
        <w:t xml:space="preserve">. It loads </w:t>
      </w:r>
      <w:r>
        <w:rPr>
          <w:rFonts w:ascii="Consolas" w:cs="Consolas" w:eastAsia="Consolas" w:hAnsi="Consolas"/>
          <w:color w:val="1F2933"/>
          <w:sz w:val="19"/>
          <w:szCs w:val="19"/>
        </w:rPr>
        <w:t xml:space="preserve">firestore.rules</w:t>
      </w:r>
      <w:r>
        <w:rPr>
          <w:color w:val="1F2933"/>
          <w:sz w:val="21"/>
          <w:szCs w:val="21"/>
        </w:rPr>
        <w:t xml:space="preserve"> from the repository, empties the emulator, creates its own synthetic users and records, and prints one line per check. It can be run repeatedly against the same emulator (checked with three consecutive runs on 21 September 2026).</w:t>
      </w:r>
    </w:p>
    <w:p>
      <w:pPr>
        <w:pStyle w:val="ListParagraph"/>
        <w:numPr>
          <w:ilvl w:val="0"/>
          <w:numId w:val="2"/>
        </w:numPr>
        <w:spacing w:after="70" w:line="276"/>
      </w:pPr>
      <w:r>
        <w:rPr>
          <w:color w:val="1F2933"/>
          <w:sz w:val="21"/>
          <w:szCs w:val="21"/>
        </w:rPr>
        <w:t xml:space="preserve">A healthy run ends with </w:t>
      </w:r>
      <w:r>
        <w:rPr>
          <w:rFonts w:ascii="Consolas" w:cs="Consolas" w:eastAsia="Consolas" w:hAnsi="Consolas"/>
          <w:color w:val="1F2933"/>
          <w:sz w:val="19"/>
          <w:szCs w:val="19"/>
        </w:rPr>
        <w:t xml:space="preserve">63 passed, 0 failed</w:t>
      </w:r>
      <w:r>
        <w:rPr>
          <w:color w:val="1F2933"/>
          <w:sz w:val="21"/>
          <w:szCs w:val="21"/>
        </w:rPr>
        <w:t xml:space="preserve">. Any failure means a rules change has opened access that should be closed, or has closed access that a legitimate role needs.</w:t>
      </w:r>
    </w:p>
    <w:p>
      <w:pPr>
        <w:pStyle w:val="ListParagraph"/>
        <w:numPr>
          <w:ilvl w:val="0"/>
          <w:numId w:val="2"/>
        </w:numPr>
        <w:spacing w:after="70" w:line="276"/>
      </w:pPr>
      <w:r>
        <w:rPr>
          <w:color w:val="1F2933"/>
          <w:sz w:val="21"/>
          <w:szCs w:val="21"/>
        </w:rPr>
        <w:t xml:space="preserve">The suite uses only synthetic data and needs no credentials. It never contacts the live database.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2"/>
        <w:sz w:val="16"/>
        <w:szCs w:val="16"/>
      </w:rPr>
      <w:t xml:space="preserve">Page </w:t>
    </w:r>
    <w:r>
      <w:rPr>
        <w:rFonts w:ascii="Calibri" w:cs="Calibri" w:eastAsia="Calibri" w:hAnsi="Calibri"/>
        <w:color w:val="5B6772"/>
        <w:sz w:val="16"/>
        <w:szCs w:val="16"/>
      </w:rPr>
      <w:fldChar w:fldCharType="begin"/>
      <w:instrText xml:space="preserve">PAGE</w:instrText>
      <w:fldChar w:fldCharType="separate"/>
      <w:fldChar w:fldCharType="end"/>
    </w:r>
    <w:r>
      <w:rPr>
        <w:rFonts w:ascii="Calibri" w:cs="Calibri" w:eastAsia="Calibri" w:hAnsi="Calibri"/>
        <w:color w:val="5B6772"/>
        <w:sz w:val="16"/>
        <w:szCs w:val="16"/>
      </w:rPr>
      <w:t xml:space="preserve"> of </w:t>
    </w:r>
    <w:r>
      <w:rPr>
        <w:rFonts w:ascii="Calibri" w:cs="Calibri" w:eastAsia="Calibri" w:hAnsi="Calibri"/>
        <w:color w:val="5B67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8" w:sz="4" w:space="4"/>
      </w:pBdr>
      <w:jc w:val="right"/>
    </w:pPr>
    <w:r>
      <w:rPr>
        <w:rFonts w:ascii="Calibri" w:cs="Calibri" w:eastAsia="Calibri" w:hAnsi="Calibri"/>
        <w:color w:val="5B6772"/>
        <w:sz w:val="16"/>
        <w:szCs w:val="16"/>
      </w:rPr>
      <w:t xml:space="preserve">Primovex | Security Review and Penetration Test Report | Draft for IG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2324F"/>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232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Primovex Security Review and Penetration Test Report</dc:title>
  <dc:creator>Claude (Anthropic) with the Primovex developer</dc:creator>
  <dc:description>Supporting document for the Primovex DPIA</dc:description>
  <cp:lastModifiedBy>Un-named</cp:lastModifiedBy>
  <cp:revision>1</cp:revision>
  <dcterms:created xsi:type="dcterms:W3CDTF">2026-09-21T14:25:52.152Z</dcterms:created>
  <dcterms:modified xsi:type="dcterms:W3CDTF">2026-09-21T14:25:52.152Z</dcterms:modified>
</cp:coreProperties>
</file>

<file path=docProps/custom.xml><?xml version="1.0" encoding="utf-8"?>
<Properties xmlns="http://schemas.openxmlformats.org/officeDocument/2006/custom-properties" xmlns:vt="http://schemas.openxmlformats.org/officeDocument/2006/docPropsVTypes"/>
</file>