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onsolas" w:cs="Consolas" w:eastAsia="Consolas" w:hAnsi="Consolas"/>
          <w:b/>
          <w:bCs/>
          <w:color w:val="8A1F2D"/>
          <w:sz w:val="18"/>
          <w:szCs w:val="18"/>
        </w:rPr>
        <w:t xml:space="preserve">DATA PROTECTION IMPACT ASSESSMENT · DRAFT FOR REVIEW</w:t>
      </w:r>
    </w:p>
    <w:p>
      <w:pPr>
        <w:pStyle w:val="Heading1"/>
        <w:spacing w:after="200" w:before="100"/>
      </w:pPr>
      <w:r>
        <w:rPr>
          <w:b/>
          <w:bCs/>
          <w:color w:val="20211D"/>
          <w:sz w:val="34"/>
          <w:szCs w:val="34"/>
        </w:rPr>
        <w:t xml:space="preserve">Primovex practice management system</w:t>
      </w:r>
    </w:p>
    <w:p>
      <w:pPr>
        <w:spacing w:after="120"/>
      </w:pPr>
      <w:r>
        <w:rPr>
          <w:i w:val="false"/>
          <w:iCs w:val="false"/>
          <w:color w:val="5B5B52"/>
          <w:sz w:val="21"/>
          <w:szCs w:val="21"/>
        </w:rPr>
        <w:t xml:space="preserve">Prepared as a working draft to support formal DPIA sign-off under Article 35 UK GDPR. Compiled from direct technical review of the system on 18 September 2026; fields marked “to be completed” require input from the practice’s Data Protection Officer / Caldicott Guardian and are not something a technical review can supply.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8A7D"/>
                <w:sz w:val="14"/>
                <w:szCs w:val="14"/>
              </w:rPr>
              <w:t xml:space="preserve">CONTROLLER</w:t>
            </w:r>
          </w:p>
          <w:p>
            <w:r>
              <w:rPr>
                <w:i/>
                <w:iCs/>
                <w:color w:val="8A8A7D"/>
                <w:sz w:val="20"/>
                <w:szCs w:val="20"/>
              </w:rPr>
              <w:t xml:space="preserve">[Practice name]</w:t>
            </w:r>
          </w:p>
        </w:tc>
        <w:tc>
          <w:tcPr>
            <w:tcW w:type="dxa" w:w="468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8A7D"/>
                <w:sz w:val="14"/>
                <w:szCs w:val="14"/>
              </w:rPr>
              <w:t xml:space="preserve">DPO / CALDICOTT GUARDIAN</w:t>
            </w:r>
          </w:p>
          <w:p>
            <w:r>
              <w:rPr>
                <w:i/>
                <w:iCs/>
                <w:color w:val="8A8A7D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468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8A7D"/>
                <w:sz w:val="14"/>
                <w:szCs w:val="14"/>
              </w:rPr>
              <w:t xml:space="preserve">SYSTEM</w:t>
            </w:r>
          </w:p>
          <w:p>
            <w:r>
              <w:rPr>
                <w:i w:val="false"/>
                <w:iCs w:val="false"/>
                <w:color w:val="20211D"/>
                <w:sz w:val="20"/>
                <w:szCs w:val="20"/>
              </w:rPr>
              <w:t xml:space="preserve">Primovex v0.15.41</w:t>
            </w:r>
          </w:p>
        </w:tc>
        <w:tc>
          <w:tcPr>
            <w:tcW w:type="dxa" w:w="468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8A7D"/>
                <w:sz w:val="14"/>
                <w:szCs w:val="14"/>
              </w:rPr>
              <w:t xml:space="preserve">DRAFT DATE</w:t>
            </w:r>
          </w:p>
          <w:p>
            <w:r>
              <w:rPr>
                <w:i w:val="false"/>
                <w:iCs w:val="false"/>
                <w:color w:val="20211D"/>
                <w:sz w:val="20"/>
                <w:szCs w:val="20"/>
              </w:rPr>
              <w:t xml:space="preserve">18 September 2026</w:t>
            </w:r>
          </w:p>
        </w:tc>
      </w:tr>
      <w:tr>
        <w:tc>
          <w:tcPr>
            <w:tcW w:type="dxa" w:w="468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8A7D"/>
                <w:sz w:val="14"/>
                <w:szCs w:val="14"/>
              </w:rPr>
              <w:t xml:space="preserve">REVIEWED BY</w:t>
            </w:r>
          </w:p>
          <w:p>
            <w:r>
              <w:rPr>
                <w:i/>
                <w:iCs/>
                <w:color w:val="8A8A7D"/>
                <w:sz w:val="20"/>
                <w:szCs w:val="20"/>
              </w:rPr>
              <w:t xml:space="preserve">[Name(s)]</w:t>
            </w:r>
          </w:p>
        </w:tc>
        <w:tc>
          <w:tcPr>
            <w:tcW w:type="dxa" w:w="468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8A8A7D"/>
                <w:sz w:val="14"/>
                <w:szCs w:val="14"/>
              </w:rPr>
              <w:t xml:space="preserve">STATUS</w:t>
            </w:r>
          </w:p>
          <w:p>
            <w:r>
              <w:rPr>
                <w:i w:val="false"/>
                <w:iCs w:val="false"/>
                <w:color w:val="20211D"/>
                <w:sz w:val="20"/>
                <w:szCs w:val="20"/>
              </w:rPr>
              <w:t xml:space="preserve">Draft — not yet approved</w:t>
            </w:r>
          </w:p>
        </w:tc>
      </w:tr>
    </w:tbl>
    <w:p>
      <w:pPr>
        <w:pStyle w:val="Heading2"/>
        <w:pBdr>
          <w:bottom w:val="single" w:color="DCD8CD" w:sz="4" w:space="6"/>
        </w:pBdr>
        <w:spacing w:after="140" w:before="320"/>
      </w:pPr>
      <w:r>
        <w:rPr>
          <w:rFonts w:ascii="Consolas" w:cs="Consolas" w:eastAsia="Consolas" w:hAnsi="Consolas"/>
          <w:b/>
          <w:bCs/>
          <w:color w:val="8A1F2D"/>
          <w:sz w:val="18"/>
          <w:szCs w:val="18"/>
        </w:rPr>
        <w:t xml:space="preserve">STEP 1   </w:t>
      </w:r>
      <w:r>
        <w:rPr>
          <w:b/>
          <w:bCs/>
          <w:color w:val="20211D"/>
          <w:sz w:val="24"/>
          <w:szCs w:val="24"/>
        </w:rPr>
        <w:t xml:space="preserve">Identify the need for a DPIA</w:t>
      </w:r>
    </w:p>
    <w:p>
      <w:pPr>
        <w:spacing w:after="120"/>
      </w:pPr>
      <w:r>
        <w:rPr>
          <w:i w:val="false"/>
          <w:iCs w:val="false"/>
          <w:color w:val="20211D"/>
          <w:sz w:val="21"/>
          <w:szCs w:val="21"/>
        </w:rPr>
        <w:t xml:space="preserve">Primovex is a practice management system used for stock/medicines inventory, cold-chain temperature monitoring, compliance recording, and governance case management — specifically Patient Safety Concerns (following the NHS Wales “Listening to People” pathway) and Subject Access Requests. It is a new system, introduced alongside the practice’s core national systems (EMIS, Docman), not a replacement for them.</w:t>
      </w:r>
    </w:p>
    <w:p>
      <w:pPr>
        <w:spacing w:after="120"/>
      </w:pPr>
      <w:r>
        <w:rPr>
          <w:i w:val="false"/>
          <w:iCs w:val="false"/>
          <w:color w:val="20211D"/>
          <w:sz w:val="21"/>
          <w:szCs w:val="21"/>
        </w:rPr>
        <w:t xml:space="preserve">At least one ICO screening trigger applies, which is sufficient on its own to require a DPIA: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20211D"/>
          <w:sz w:val="21"/>
          <w:szCs w:val="21"/>
        </w:rPr>
        <w:t xml:space="preserve">Special category data. Concerns and SARs both relate to patient care and, even pseudonymised, fall within Article 9 health data by association.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20211D"/>
          <w:sz w:val="21"/>
          <w:szCs w:val="21"/>
        </w:rPr>
        <w:t xml:space="preserve">New technology / novel processing for this practice. This data flow (governance case management in a dedicated tool) has not previously been assessed.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20211D"/>
          <w:sz w:val="21"/>
          <w:szCs w:val="21"/>
        </w:rPr>
        <w:t xml:space="preserve">Systematic, practice-wide processing used continuously by multiple staff roles.</w:t>
      </w:r>
    </w:p>
    <w:p>
      <w:pPr>
        <w:spacing w:after="100" w:before="100"/>
      </w:pPr>
      <w:r>
        <w:rPr>
          <w:b/>
          <w:bCs/>
          <w:sz w:val="21"/>
          <w:szCs w:val="21"/>
        </w:rPr>
        <w:t xml:space="preserve">Conclusion: </w:t>
      </w:r>
      <w:r>
        <w:rPr>
          <w:color w:val="5B5B52"/>
          <w:sz w:val="21"/>
          <w:szCs w:val="21"/>
        </w:rPr>
        <w:t xml:space="preserve">a DPIA is required before Primovex’s governance modules (Concerns, SARs) are relied upon as the practice’s primary record for these processes.</w:t>
      </w:r>
    </w:p>
    <w:p>
      <w:pPr>
        <w:pStyle w:val="Heading2"/>
        <w:pBdr>
          <w:bottom w:val="single" w:color="DCD8CD" w:sz="4" w:space="6"/>
        </w:pBdr>
        <w:spacing w:after="140" w:before="320"/>
      </w:pPr>
      <w:r>
        <w:rPr>
          <w:rFonts w:ascii="Consolas" w:cs="Consolas" w:eastAsia="Consolas" w:hAnsi="Consolas"/>
          <w:b/>
          <w:bCs/>
          <w:color w:val="8A1F2D"/>
          <w:sz w:val="18"/>
          <w:szCs w:val="18"/>
        </w:rPr>
        <w:t xml:space="preserve">STEP 2   </w:t>
      </w:r>
      <w:r>
        <w:rPr>
          <w:b/>
          <w:bCs/>
          <w:color w:val="20211D"/>
          <w:sz w:val="24"/>
          <w:szCs w:val="24"/>
        </w:rPr>
        <w:t xml:space="preserve">Describe the processing</w:t>
      </w:r>
    </w:p>
    <w:p>
      <w:pPr>
        <w:spacing w:after="80" w:before="200"/>
      </w:pPr>
      <w:r>
        <w:rPr>
          <w:b/>
          <w:bCs/>
          <w:color w:val="20211D"/>
          <w:sz w:val="20"/>
          <w:szCs w:val="20"/>
        </w:rPr>
        <w:t xml:space="preserve">Nature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Collection: </w:t>
      </w:r>
      <w:r>
        <w:rPr>
          <w:color w:val="5B5B52"/>
          <w:sz w:val="21"/>
          <w:szCs w:val="21"/>
        </w:rPr>
        <w:t xml:space="preserve">manually entered by practice staff via desktop or mobile forms at the point a concern, SAR, stock movement, or temperature reading occurs.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Use: </w:t>
      </w:r>
      <w:r>
        <w:rPr>
          <w:color w:val="5B5B52"/>
          <w:sz w:val="21"/>
          <w:szCs w:val="21"/>
        </w:rPr>
        <w:t xml:space="preserve">case tracking against statutory/pathway deadlines, correspondence logging, stock and cold-chain safety monitoring, staff-facing reporting (including annual category/outcome breakdowns for external returns such as the Welsh Risk Pool).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Storage: </w:t>
      </w:r>
      <w:r>
        <w:rPr>
          <w:color w:val="5B5B52"/>
          <w:sz w:val="21"/>
          <w:szCs w:val="21"/>
        </w:rPr>
        <w:t xml:space="preserve">Google Cloud Firestore, EU multi-region (eur3); application server logic (Cloud Functions) runs in europe-west2 (London, UK).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Deletion: </w:t>
      </w:r>
      <w:r>
        <w:rPr>
          <w:color w:val="5B5B52"/>
          <w:sz w:val="21"/>
          <w:szCs w:val="21"/>
        </w:rPr>
        <w:t xml:space="preserve">governance timeline, correspondence, and stock-movement entries are immutable audit records (cannot be edited or deleted by design). Stock items are soft-deleted (archived, recoverable). Concern cases and user accounts can be hard-deleted, restricted to System Admin only, behind an explicit confirmation step.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Sharing: </w:t>
      </w:r>
      <w:r>
        <w:rPr>
          <w:color w:val="5B5B52"/>
          <w:sz w:val="21"/>
          <w:szCs w:val="21"/>
        </w:rPr>
        <w:t xml:space="preserve">Concerns correspondence is logged with named external bodies as part of the normal governance process — see the accompanying data-sharing map for the full list and current protocol status.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Special category data: </w:t>
      </w:r>
      <w:r>
        <w:rPr>
          <w:color w:val="5B5B52"/>
          <w:sz w:val="21"/>
          <w:szCs w:val="21"/>
        </w:rPr>
        <w:t xml:space="preserve">yes, by association — patient identifiers (EMIS number, or initials + date of birth) and, for the person raising a concern when that differs from the patient, initials and a contact method. No patient name, address, or full date-of-birth-plus-name combination is stored; that identifying detail is deliberately kept in the paper file, cross-referenced only by the Primovex case reference.</w:t>
      </w:r>
    </w:p>
    <w:p>
      <w:pPr>
        <w:spacing w:after="80" w:before="200"/>
      </w:pPr>
      <w:r>
        <w:rPr>
          <w:b/>
          <w:bCs/>
          <w:color w:val="20211D"/>
          <w:sz w:val="20"/>
          <w:szCs w:val="20"/>
        </w:rPr>
        <w:t xml:space="preserve">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DIMENSION</w:t>
            </w:r>
          </w:p>
        </w:tc>
        <w:tc>
          <w:tcPr>
            <w:tcW w:type="dxa" w:w="692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DETAIL</w:t>
            </w:r>
          </w:p>
        </w:tc>
      </w:tr>
      <w:tr>
        <w:tc>
          <w:tcPr>
            <w:tcW w:type="dxa" w:w="243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Data subjects</w:t>
            </w:r>
          </w:p>
        </w:tc>
        <w:tc>
          <w:tcPr>
            <w:tcW w:type="dxa" w:w="692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Patients (via pseudonymised reference only — Primovex has no direct patient-facing interface); practice staff (direct personal data — name, email, role)</w:t>
            </w:r>
          </w:p>
        </w:tc>
      </w:tr>
      <w:tr>
        <w:tc>
          <w:tcPr>
            <w:tcW w:type="dxa" w:w="243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Volume</w:t>
            </w:r>
          </w:p>
        </w:tc>
        <w:tc>
          <w:tcPr>
            <w:tcW w:type="dxa" w:w="692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i/>
                <w:iCs/>
                <w:color w:val="8A8A7D"/>
                <w:sz w:val="19"/>
                <w:szCs w:val="19"/>
              </w:rPr>
              <w:t xml:space="preserve">[To be completed: approximate registered list size and typical annual Concerns/SARs volume — practice to confirm]</w:t>
            </w:r>
          </w:p>
        </w:tc>
      </w:tr>
      <w:tr>
        <w:tc>
          <w:tcPr>
            <w:tcW w:type="dxa" w:w="243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Geographic scope</w:t>
            </w:r>
          </w:p>
        </w:tc>
        <w:tc>
          <w:tcPr>
            <w:tcW w:type="dxa" w:w="692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Single GP practice, North Wales (BCUHB area)</w:t>
            </w:r>
          </w:p>
        </w:tc>
      </w:tr>
      <w:tr>
        <w:tc>
          <w:tcPr>
            <w:tcW w:type="dxa" w:w="243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Duration</w:t>
            </w:r>
          </w:p>
        </w:tc>
        <w:tc>
          <w:tcPr>
            <w:tcW w:type="dxa" w:w="692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Ongoing operational use; no defined end date</w:t>
            </w:r>
          </w:p>
        </w:tc>
      </w:tr>
      <w:tr>
        <w:tc>
          <w:tcPr>
            <w:tcW w:type="dxa" w:w="243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Frequency</w:t>
            </w:r>
          </w:p>
        </w:tc>
        <w:tc>
          <w:tcPr>
            <w:tcW w:type="dxa" w:w="692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Continuous — multiple staff, daily use</w:t>
            </w:r>
          </w:p>
        </w:tc>
      </w:tr>
    </w:tbl>
    <w:p>
      <w:pPr>
        <w:spacing w:after="80" w:before="200"/>
      </w:pPr>
      <w:r>
        <w:rPr>
          <w:b/>
          <w:bCs/>
          <w:color w:val="20211D"/>
          <w:sz w:val="20"/>
          <w:szCs w:val="20"/>
        </w:rPr>
        <w:t xml:space="preserve">Context</w:t>
      </w:r>
    </w:p>
    <w:p>
      <w:pPr>
        <w:spacing w:after="120"/>
      </w:pPr>
      <w:r>
        <w:rPr>
          <w:i w:val="false"/>
          <w:iCs w:val="false"/>
          <w:color w:val="20211D"/>
          <w:sz w:val="21"/>
          <w:szCs w:val="21"/>
        </w:rPr>
        <w:t xml:space="preserve">Patients do not interact with Primovex directly and have no visibility into it as a distinct system — their expectation is that a concern they raise, or a SAR they submit, is handled by “the practice,” not that it necessarily reaches a specific piece of software. Patients raising a Concern shortly after a clinical incident may be a vulnerable cohort at the point data is recorded, which is a reason for the deliberate identifier minimisation already built in, not a reason to avoid recording the case. No prior complaints or concerns about this specific processing have been identified, and the underlying technology (a cloud-hosted practice management tool) is a standard, unexceptional category of system.</w:t>
      </w:r>
    </w:p>
    <w:p>
      <w:pPr>
        <w:spacing w:after="80" w:before="200"/>
      </w:pPr>
      <w:r>
        <w:rPr>
          <w:b/>
          <w:bCs/>
          <w:color w:val="20211D"/>
          <w:sz w:val="20"/>
          <w:szCs w:val="20"/>
        </w:rPr>
        <w:t xml:space="preserve">Purposes</w:t>
      </w:r>
    </w:p>
    <w:p>
      <w:pPr>
        <w:spacing w:after="120"/>
      </w:pPr>
      <w:r>
        <w:rPr>
          <w:i w:val="false"/>
          <w:iCs w:val="false"/>
          <w:color w:val="20211D"/>
          <w:sz w:val="21"/>
          <w:szCs w:val="21"/>
        </w:rPr>
        <w:t xml:space="preserve">To record and manage patient safety concerns and SARs within their statutory/pathway timescales; to maintain an auditable correspondence trail; to support medicines cold-chain safety through temperature monitoring; to maintain accurate stock levels, reducing clinical risk from unavailable medicines or equipment. The intended effect on individuals is faster, more consistent handling of their concern or request, and a lower risk of a cold-chain failure affecting medicines administered to them.</w:t>
      </w:r>
    </w:p>
    <w:p>
      <w:pPr>
        <w:pStyle w:val="Heading2"/>
        <w:pBdr>
          <w:bottom w:val="single" w:color="DCD8CD" w:sz="4" w:space="6"/>
        </w:pBdr>
        <w:spacing w:after="140" w:before="320"/>
      </w:pPr>
      <w:r>
        <w:rPr>
          <w:rFonts w:ascii="Consolas" w:cs="Consolas" w:eastAsia="Consolas" w:hAnsi="Consolas"/>
          <w:b/>
          <w:bCs/>
          <w:color w:val="8A1F2D"/>
          <w:sz w:val="18"/>
          <w:szCs w:val="18"/>
        </w:rPr>
        <w:t xml:space="preserve">STEP 3   </w:t>
      </w:r>
      <w:r>
        <w:rPr>
          <w:b/>
          <w:bCs/>
          <w:color w:val="20211D"/>
          <w:sz w:val="24"/>
          <w:szCs w:val="24"/>
        </w:rPr>
        <w:t xml:space="preserve">Consultation process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A8A7D" w:sz="6"/>
              <w:left w:val="dashed" w:color="8A8A7D" w:sz="6"/>
              <w:bottom w:val="dashed" w:color="8A8A7D" w:sz="6"/>
              <w:right w:val="dashed" w:color="8A8A7D" w:sz="6"/>
            </w:tcBorders>
            <w:shd w:fill="F0EFE9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20211D"/>
                <w:sz w:val="16"/>
                <w:szCs w:val="16"/>
              </w:rPr>
              <w:t xml:space="preserve">TO BE COMPLETED BY THE PRACTICE</w:t>
            </w:r>
          </w:p>
          <w:p>
            <w:pPr>
              <w:spacing w:after="60"/>
            </w:pPr>
            <w:r>
              <w:rPr>
                <w:i/>
                <w:iCs/>
                <w:color w:val="5B5B52"/>
                <w:sz w:val="20"/>
                <w:szCs w:val="20"/>
              </w:rPr>
              <w:t xml:space="preserve">This draft was produced from technical review, not staff or patient consultation. Before sign-off, consider recording: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i/>
                <w:iCs/>
                <w:color w:val="5B5B52"/>
                <w:sz w:val="20"/>
                <w:szCs w:val="20"/>
              </w:rPr>
              <w:t xml:space="preserve">Consultation with the staff who will use Concerns/SARs day-to-day (reception, secretarial, clinical) on whether the recorded fields and workflow match how they actually handle a case.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i/>
                <w:iCs/>
                <w:color w:val="5B5B52"/>
                <w:sz w:val="20"/>
                <w:szCs w:val="20"/>
              </w:rPr>
              <w:t xml:space="preserve">Consultation with BCUHB’s Information Governance team, given the data-sharing implications described in Step 4 and the accompanying data-sharing map.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0"/>
            </w:pPr>
            <w:r>
              <w:rPr>
                <w:i/>
                <w:iCs/>
                <w:color w:val="5B5B52"/>
                <w:sz w:val="20"/>
                <w:szCs w:val="20"/>
              </w:rPr>
              <w:t xml:space="preserve">Whether patient/PPG (Patient Participation Group) input is appropriate or practical for a system patients don’t interact with directly — a judgement call for the DPO, not something this review can settle.</w:t>
            </w:r>
          </w:p>
        </w:tc>
      </w:tr>
    </w:tbl>
    <w:p>
      <w:pPr>
        <w:pStyle w:val="Heading2"/>
        <w:pBdr>
          <w:bottom w:val="single" w:color="DCD8CD" w:sz="4" w:space="6"/>
        </w:pBdr>
        <w:spacing w:after="140" w:before="320"/>
      </w:pPr>
      <w:r>
        <w:rPr>
          <w:rFonts w:ascii="Consolas" w:cs="Consolas" w:eastAsia="Consolas" w:hAnsi="Consolas"/>
          <w:b/>
          <w:bCs/>
          <w:color w:val="8A1F2D"/>
          <w:sz w:val="18"/>
          <w:szCs w:val="18"/>
        </w:rPr>
        <w:t xml:space="preserve">STEP 4   </w:t>
      </w:r>
      <w:r>
        <w:rPr>
          <w:b/>
          <w:bCs/>
          <w:color w:val="20211D"/>
          <w:sz w:val="24"/>
          <w:szCs w:val="24"/>
        </w:rPr>
        <w:t xml:space="preserve">Assess necessity and proportionality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MEASURE</w:t>
            </w:r>
          </w:p>
        </w:tc>
        <w:tc>
          <w:tcPr>
            <w:tcW w:type="dxa" w:w="711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POSITION</w:t>
            </w:r>
          </w:p>
        </w:tc>
      </w:tr>
      <w:tr>
        <w:tc>
          <w:tcPr>
            <w:tcW w:type="dxa" w:w="224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Lawful basis</w:t>
            </w:r>
          </w:p>
        </w:tc>
        <w:tc>
          <w:tcPr>
            <w:tcW w:type="dxa" w:w="711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Likely Article 6(1)(e) (public task) with Article 9(2)(h) (health/social care purposes) for the special-category element, consistent with the practice’s existing basis for clinical systems. [To be completed: DPO to confirm this extends cleanly to Primovex’s governance-handling function specifically.]</w:t>
            </w:r>
          </w:p>
        </w:tc>
      </w:tr>
      <w:tr>
        <w:tc>
          <w:tcPr>
            <w:tcW w:type="dxa" w:w="224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Data minimisation</w:t>
            </w:r>
          </w:p>
        </w:tc>
        <w:tc>
          <w:tcPr>
            <w:tcW w:type="dxa" w:w="711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Patient identity is EMIS number, or initials + DOB — never a name. The person raising a concern, when not the patient, is recorded by initials and a contact method only; their full name and address stay in the paper file, referenced by the case number.</w:t>
            </w:r>
          </w:p>
        </w:tc>
      </w:tr>
      <w:tr>
        <w:tc>
          <w:tcPr>
            <w:tcW w:type="dxa" w:w="224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Function creep</w:t>
            </w:r>
          </w:p>
        </w:tc>
        <w:tc>
          <w:tcPr>
            <w:tcW w:type="dxa" w:w="711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Access is capability-based (a named permission per action, e.g. “manage SARs,” “manage Concerns”), not an all-or-nothing account type, and is enforced at both the application and database layer as of this review.</w:t>
            </w:r>
          </w:p>
        </w:tc>
      </w:tr>
      <w:tr>
        <w:tc>
          <w:tcPr>
            <w:tcW w:type="dxa" w:w="224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Individual rights</w:t>
            </w:r>
          </w:p>
        </w:tc>
        <w:tc>
          <w:tcPr>
            <w:tcW w:type="dxa" w:w="711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Patients exercise access/rectification/erasure rights through the practice’s existing EMIS/SAR process; Primovex has no direct patient-facing interface through which a right would be exercised against it specifically.</w:t>
            </w:r>
          </w:p>
        </w:tc>
      </w:tr>
      <w:tr>
        <w:tc>
          <w:tcPr>
            <w:tcW w:type="dxa" w:w="224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Processor arrangements</w:t>
            </w:r>
          </w:p>
        </w:tc>
        <w:tc>
          <w:tcPr>
            <w:tcW w:type="dxa" w:w="711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Google Cloud (Firebase) is a processor under a standard Data Processing Addendum. [To be completed: confirm the DPA has been formally reviewed and is on file.]</w:t>
            </w:r>
          </w:p>
        </w:tc>
      </w:tr>
      <w:tr>
        <w:tc>
          <w:tcPr>
            <w:tcW w:type="dxa" w:w="224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International transfers</w:t>
            </w:r>
          </w:p>
        </w:tc>
        <w:tc>
          <w:tcPr>
            <w:tcW w:type="dxa" w:w="7114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Data resides in the EU (eur3); application logic runs in the UK (europe-west2). No transfer outside the EU/UK identified in the current configuration.</w:t>
            </w:r>
          </w:p>
        </w:tc>
      </w:tr>
    </w:tbl>
    <w:p>
      <w:pPr>
        <w:pStyle w:val="Heading2"/>
        <w:pBdr>
          <w:bottom w:val="single" w:color="DCD8CD" w:sz="4" w:space="6"/>
        </w:pBdr>
        <w:spacing w:after="140" w:before="320"/>
      </w:pPr>
      <w:r>
        <w:rPr>
          <w:rFonts w:ascii="Consolas" w:cs="Consolas" w:eastAsia="Consolas" w:hAnsi="Consolas"/>
          <w:b/>
          <w:bCs/>
          <w:color w:val="8A1F2D"/>
          <w:sz w:val="18"/>
          <w:szCs w:val="18"/>
        </w:rPr>
        <w:t xml:space="preserve">STEP 5   </w:t>
      </w:r>
      <w:r>
        <w:rPr>
          <w:b/>
          <w:bCs/>
          <w:color w:val="20211D"/>
          <w:sz w:val="24"/>
          <w:szCs w:val="24"/>
        </w:rPr>
        <w:t xml:space="preserve">Identify and assess risks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1778"/>
        <w:gridCol w:w="1778"/>
        <w:gridCol w:w="1872"/>
      </w:tblGrid>
      <w:tr>
        <w:trPr>
          <w:tblHeader/>
        </w:trPr>
        <w:tc>
          <w:tcPr>
            <w:tcW w:type="dxa" w:w="3931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RISK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LIKELIHOOD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SEVERITY</w:t>
            </w:r>
          </w:p>
        </w:tc>
        <w:tc>
          <w:tcPr>
            <w:tcW w:type="dxa" w:w="1872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OVERALL</w:t>
            </w:r>
          </w:p>
        </w:tc>
      </w:tr>
      <w:tr>
        <w:tc>
          <w:tcPr>
            <w:tcW w:type="dxa" w:w="3931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Unauthorised access to Concerns/SARs data via a compromised or over-privileged account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Possible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Significant</w:t>
            </w:r>
          </w:p>
        </w:tc>
        <w:tc>
          <w:tcPr>
            <w:tcW w:type="dxa" w:w="1872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96631A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3931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Session left unattended on a shared device, accessed by someone else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Possible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Significant</w:t>
            </w:r>
          </w:p>
        </w:tc>
        <w:tc>
          <w:tcPr>
            <w:tcW w:type="dxa" w:w="1872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96631A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3931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Accidental data loss or corruption (mistaken deletion, bulk edit error)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Remote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Significant</w:t>
            </w:r>
          </w:p>
        </w:tc>
        <w:tc>
          <w:tcPr>
            <w:tcW w:type="dxa" w:w="1872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3D6B4F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3931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Data shared with an external body without a documented sharing agreement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Probable — several such flows already exist informally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Significant</w:t>
            </w:r>
          </w:p>
        </w:tc>
        <w:tc>
          <w:tcPr>
            <w:tcW w:type="dxa" w:w="1872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8A1F2D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3931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Re-identification of a patient by combining Primovex’s pseudonymised reference with other information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Remote, given current access controls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Significant</w:t>
            </w:r>
          </w:p>
        </w:tc>
        <w:tc>
          <w:tcPr>
            <w:tcW w:type="dxa" w:w="1872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3D6B4F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3931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Vulnerability in the system undetected due to no independent security testing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Unassessed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Potentially severe</w:t>
            </w:r>
          </w:p>
        </w:tc>
        <w:tc>
          <w:tcPr>
            <w:tcW w:type="dxa" w:w="1872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96631A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3931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Data residency outside the practice’s preferred jurisdiction (EU rather than UK-only)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Certain (current state)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Minimal (legally permitted) / policy risk</w:t>
            </w:r>
          </w:p>
        </w:tc>
        <w:tc>
          <w:tcPr>
            <w:tcW w:type="dxa" w:w="1872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3D6B4F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3931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Loss of mobile device (if staff use personal devices)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i/>
                <w:iCs/>
                <w:color w:val="8A8A7D"/>
                <w:sz w:val="19"/>
                <w:szCs w:val="19"/>
              </w:rPr>
              <w:t xml:space="preserve">[To be completed — depends on BYOD vs. practice-owned]</w:t>
            </w:r>
          </w:p>
        </w:tc>
        <w:tc>
          <w:tcPr>
            <w:tcW w:type="dxa" w:w="177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Significant</w:t>
            </w:r>
          </w:p>
        </w:tc>
        <w:tc>
          <w:tcPr>
            <w:tcW w:type="dxa" w:w="1872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pBdr>
          <w:bottom w:val="single" w:color="DCD8CD" w:sz="4" w:space="6"/>
        </w:pBdr>
        <w:spacing w:after="140" w:before="320"/>
      </w:pPr>
      <w:r>
        <w:rPr>
          <w:rFonts w:ascii="Consolas" w:cs="Consolas" w:eastAsia="Consolas" w:hAnsi="Consolas"/>
          <w:b/>
          <w:bCs/>
          <w:color w:val="8A1F2D"/>
          <w:sz w:val="18"/>
          <w:szCs w:val="18"/>
        </w:rPr>
        <w:t xml:space="preserve">STEP 6   </w:t>
      </w:r>
      <w:r>
        <w:rPr>
          <w:b/>
          <w:bCs/>
          <w:color w:val="20211D"/>
          <w:sz w:val="24"/>
          <w:szCs w:val="24"/>
        </w:rPr>
        <w:t xml:space="preserve">Measures to reduce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4118"/>
        <w:gridCol w:w="1310"/>
        <w:gridCol w:w="936"/>
      </w:tblGrid>
      <w:tr>
        <w:trPr>
          <w:tblHeader/>
        </w:trPr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RISK</w:t>
            </w:r>
          </w:p>
        </w:tc>
        <w:tc>
          <w:tcPr>
            <w:tcW w:type="dxa" w:w="411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MITIGATION</w:t>
            </w:r>
          </w:p>
        </w:tc>
        <w:tc>
          <w:tcPr>
            <w:tcW w:type="dxa" w:w="131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RESIDUAL</w:t>
            </w:r>
          </w:p>
        </w:tc>
        <w:tc>
          <w:tcPr>
            <w:tcW w:type="dxa" w:w="93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APPROVED</w:t>
            </w:r>
          </w:p>
        </w:tc>
      </w:tr>
      <w:tr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Unauthorised access via a compromised/over-privileged account</w:t>
            </w:r>
          </w:p>
        </w:tc>
        <w:tc>
          <w:tcPr>
            <w:tcW w:type="dxa" w:w="411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Capability-based access control at both application and database (Firestore rules) layers; a defined “Concerns team” / “Manage SARs” capability rather than broad role access</w:t>
            </w:r>
          </w:p>
        </w:tc>
        <w:tc>
          <w:tcPr>
            <w:tcW w:type="dxa" w:w="131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3D6B4F"/>
                <w:sz w:val="18"/>
                <w:szCs w:val="18"/>
              </w:rPr>
              <w:t xml:space="preserve">Low</w:t>
            </w:r>
          </w:p>
        </w:tc>
        <w:tc>
          <w:tcPr>
            <w:tcW w:type="dxa" w:w="93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Unattended session</w:t>
            </w:r>
          </w:p>
        </w:tc>
        <w:tc>
          <w:tcPr>
            <w:tcW w:type="dxa" w:w="411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15-minute inactivity lock on both desktop and mobile, requiring a PIN (or biometric on mobile) to resume; automatic 12-hour absolute session expiry regardless of activity</w:t>
            </w:r>
          </w:p>
        </w:tc>
        <w:tc>
          <w:tcPr>
            <w:tcW w:type="dxa" w:w="131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3D6B4F"/>
                <w:sz w:val="18"/>
                <w:szCs w:val="18"/>
              </w:rPr>
              <w:t xml:space="preserve">Low</w:t>
            </w:r>
          </w:p>
        </w:tc>
        <w:tc>
          <w:tcPr>
            <w:tcW w:type="dxa" w:w="93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Accidental data loss/corruption</w:t>
            </w:r>
          </w:p>
        </w:tc>
        <w:tc>
          <w:tcPr>
            <w:tcW w:type="dxa" w:w="411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Firestore delete protection enabled; 7-day point-in-time recovery enabled</w:t>
            </w:r>
          </w:p>
        </w:tc>
        <w:tc>
          <w:tcPr>
            <w:tcW w:type="dxa" w:w="131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3D6B4F"/>
                <w:sz w:val="18"/>
                <w:szCs w:val="18"/>
              </w:rPr>
              <w:t xml:space="preserve">Low</w:t>
            </w:r>
          </w:p>
        </w:tc>
        <w:tc>
          <w:tcPr>
            <w:tcW w:type="dxa" w:w="93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Undocumented external data sharing</w:t>
            </w:r>
          </w:p>
        </w:tc>
        <w:tc>
          <w:tcPr>
            <w:tcW w:type="dxa" w:w="411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Data-sharing map produced identifying every external body Primovex correspondence flows to, for review against existing WASPI Information Sharing Protocols</w:t>
            </w:r>
          </w:p>
        </w:tc>
        <w:tc>
          <w:tcPr>
            <w:tcW w:type="dxa" w:w="131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96631A"/>
                <w:sz w:val="18"/>
                <w:szCs w:val="18"/>
              </w:rPr>
              <w:t xml:space="preserve">Medium, pending ISP review</w:t>
            </w:r>
          </w:p>
        </w:tc>
        <w:tc>
          <w:tcPr>
            <w:tcW w:type="dxa" w:w="93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Re-identification risk</w:t>
            </w:r>
          </w:p>
        </w:tc>
        <w:tc>
          <w:tcPr>
            <w:tcW w:type="dxa" w:w="411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Identifier minimisation; capability-gated read access; immutable audit logging</w:t>
            </w:r>
          </w:p>
        </w:tc>
        <w:tc>
          <w:tcPr>
            <w:tcW w:type="dxa" w:w="131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3D6B4F"/>
                <w:sz w:val="18"/>
                <w:szCs w:val="18"/>
              </w:rPr>
              <w:t xml:space="preserve">Low</w:t>
            </w:r>
          </w:p>
        </w:tc>
        <w:tc>
          <w:tcPr>
            <w:tcW w:type="dxa" w:w="93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Undetected vulnerabilities</w:t>
            </w:r>
          </w:p>
        </w:tc>
        <w:tc>
          <w:tcPr>
            <w:tcW w:type="dxa" w:w="411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i/>
                <w:iCs/>
                <w:color w:val="8A8A7D"/>
                <w:sz w:val="19"/>
                <w:szCs w:val="19"/>
              </w:rPr>
              <w:t xml:space="preserve">[To be completed — recommend commissioning an independent security review/penetration test; not yet arranged]</w:t>
            </w:r>
          </w:p>
        </w:tc>
        <w:tc>
          <w:tcPr>
            <w:tcW w:type="dxa" w:w="131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96631A"/>
                <w:sz w:val="18"/>
                <w:szCs w:val="18"/>
              </w:rPr>
              <w:t xml:space="preserve">Medium</w:t>
            </w:r>
          </w:p>
        </w:tc>
        <w:tc>
          <w:tcPr>
            <w:tcW w:type="dxa" w:w="93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Data residency (EU vs UK-only)</w:t>
            </w:r>
          </w:p>
        </w:tc>
        <w:tc>
          <w:tcPr>
            <w:tcW w:type="dxa" w:w="411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i/>
                <w:iCs/>
                <w:color w:val="8A8A7D"/>
                <w:sz w:val="19"/>
                <w:szCs w:val="19"/>
              </w:rPr>
              <w:t xml:space="preserve">[To be completed — DPO/IG to confirm whether UK-only hosting is required by policy]</w:t>
            </w:r>
          </w:p>
        </w:tc>
        <w:tc>
          <w:tcPr>
            <w:tcW w:type="dxa" w:w="1310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b/>
                <w:bCs/>
                <w:color w:val="3D6B4F"/>
                <w:sz w:val="18"/>
                <w:szCs w:val="18"/>
              </w:rPr>
              <w:t xml:space="preserve">Low</w:t>
            </w:r>
          </w:p>
        </w:tc>
        <w:tc>
          <w:tcPr>
            <w:tcW w:type="dxa" w:w="936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r>
              <w:rPr>
                <w:color w:val="20211D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2"/>
        <w:pBdr>
          <w:bottom w:val="single" w:color="DCD8CD" w:sz="4" w:space="6"/>
        </w:pBdr>
        <w:spacing w:after="140" w:before="320"/>
      </w:pPr>
      <w:r>
        <w:rPr>
          <w:rFonts w:ascii="Consolas" w:cs="Consolas" w:eastAsia="Consolas" w:hAnsi="Consolas"/>
          <w:b/>
          <w:bCs/>
          <w:color w:val="8A1F2D"/>
          <w:sz w:val="18"/>
          <w:szCs w:val="18"/>
        </w:rPr>
        <w:t xml:space="preserve">STEP 7   </w:t>
      </w:r>
      <w:r>
        <w:rPr>
          <w:b/>
          <w:bCs/>
          <w:color w:val="20211D"/>
          <w:sz w:val="24"/>
          <w:szCs w:val="24"/>
        </w:rPr>
        <w:t xml:space="preserve">Sign-off and record of outcomes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995"/>
        <w:gridCol w:w="1498"/>
        <w:gridCol w:w="2059"/>
      </w:tblGrid>
      <w:tr>
        <w:trPr>
          <w:tblHeader/>
        </w:trPr>
        <w:tc>
          <w:tcPr>
            <w:tcW w:type="dxa" w:w="280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ITEM</w:t>
            </w:r>
          </w:p>
        </w:tc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NAME / POSITION</w:t>
            </w:r>
          </w:p>
        </w:tc>
        <w:tc>
          <w:tcPr>
            <w:tcW w:type="dxa" w:w="149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DATE</w:t>
            </w:r>
          </w:p>
        </w:tc>
        <w:tc>
          <w:tcPr>
            <w:tcW w:type="dxa" w:w="2059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shd w:fill="FAF9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5B5B52"/>
                <w:sz w:val="15"/>
                <w:szCs w:val="15"/>
              </w:rPr>
              <w:t xml:space="preserve">NOTES</w:t>
            </w:r>
          </w:p>
        </w:tc>
      </w:tr>
      <w:tr>
        <w:tc>
          <w:tcPr>
            <w:tcW w:type="dxa" w:w="280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0211D"/>
                <w:sz w:val="19"/>
                <w:szCs w:val="19"/>
              </w:rPr>
              <w:t xml:space="preserve">Measures approved by</w:t>
            </w:r>
          </w:p>
        </w:tc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149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2059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</w:tr>
      <w:tr>
        <w:tc>
          <w:tcPr>
            <w:tcW w:type="dxa" w:w="280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0211D"/>
                <w:sz w:val="19"/>
                <w:szCs w:val="19"/>
              </w:rPr>
              <w:t xml:space="preserve">Residual risks approved by</w:t>
            </w:r>
          </w:p>
        </w:tc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149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2059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</w:tr>
      <w:tr>
        <w:tc>
          <w:tcPr>
            <w:tcW w:type="dxa" w:w="280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0211D"/>
                <w:sz w:val="19"/>
                <w:szCs w:val="19"/>
              </w:rPr>
              <w:t xml:space="preserve">DPO / Caldicott advice provided</w:t>
            </w:r>
          </w:p>
        </w:tc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149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2059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</w:tr>
      <w:tr>
        <w:tc>
          <w:tcPr>
            <w:tcW w:type="dxa" w:w="280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0211D"/>
                <w:sz w:val="19"/>
                <w:szCs w:val="19"/>
              </w:rPr>
              <w:t xml:space="preserve">DPO advice accepted / overruled by</w:t>
            </w:r>
          </w:p>
        </w:tc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149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2059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</w:tr>
      <w:tr>
        <w:tc>
          <w:tcPr>
            <w:tcW w:type="dxa" w:w="280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0211D"/>
                <w:sz w:val="19"/>
                <w:szCs w:val="19"/>
              </w:rPr>
              <w:t xml:space="preserve">This DPIA kept under review by</w:t>
            </w:r>
          </w:p>
        </w:tc>
        <w:tc>
          <w:tcPr>
            <w:tcW w:type="dxa" w:w="2995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1498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  <w:tc>
          <w:tcPr>
            <w:tcW w:type="dxa" w:w="2059"/>
            <w:tcBorders>
              <w:top w:val="single" w:color="DCD8CD" w:sz="4"/>
              <w:left w:val="single" w:color="DCD8CD" w:sz="4"/>
              <w:bottom w:val="single" w:color="DCD8CD" w:sz="4"/>
              <w:right w:val="single" w:color="DCD8CD" w:sz="4"/>
            </w:tcBorders>
            <w:tcMar>
              <w:top w:type="dxa" w:w="260"/>
              <w:left w:type="dxa" w:w="120"/>
              <w:bottom w:type="dxa" w:w="90"/>
              <w:right w:type="dxa" w:w="120"/>
            </w:tcMar>
          </w:tcPr>
          <w:p>
            <w:pPr>
              <w:pBdr>
                <w:bottom w:val="single" w:color="8A8A7D" w:sz="4"/>
              </w:pBdr>
            </w:pPr>
            <w:r>
              <w:t xml:space="preserve"> </w:t>
            </w:r>
          </w:p>
        </w:tc>
      </w:tr>
    </w:tbl>
    <w:p>
      <w:pPr>
        <w:pBdr>
          <w:top w:val="single" w:color="DCD8CD" w:sz="4"/>
        </w:pBdr>
        <w:spacing w:before="400"/>
      </w:pPr>
      <w:r>
        <w:rPr>
          <w:i/>
          <w:iCs/>
          <w:color w:val="8A8A7D"/>
          <w:sz w:val="16"/>
          <w:szCs w:val="16"/>
        </w:rPr>
        <w:t xml:space="preserve">Compiled from direct technical review of Primovex’s Firestore security rules, Firebase project configuration, and application capability model on 18 September 2026. This document is a working draft intended to give the Data Protection Officer / Caldicott Guardian a complete technical starting point — it is not itself an approved DPIA until Step 7 is completed and signed.</w:t>
      </w:r>
    </w:p>
    <w:sectPr>
      <w:footerReference w:type="default" r:id="rId7"/>
      <w:pgSz w:w="11906" w:h="16838" w:orient="portrait"/>
      <w:pgMar w:top="1000" w:right="1120" w:bottom="1000" w:left="11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D8CD" w:sz="4"/>
      </w:pBdr>
      <w:spacing w:before="100"/>
    </w:pPr>
    <w:r>
      <w:rPr>
        <w:color w:val="8A8A7D"/>
        <w:sz w:val="15"/>
        <w:szCs w:val="15"/>
      </w:rPr>
      <w:t xml:space="preserve">Primovex DPIA Draft — not yet approved</w:t>
    </w:r>
    <w:r>
      <w:rPr>
        <w:color w:val="8A8A7D"/>
        <w:sz w:val="15"/>
        <w:szCs w:val="15"/>
      </w:rPr>
      <w:t xml:space="preserve">   •   p. </w:t>
    </w:r>
    <w:r>
      <w:rPr>
        <w:color w:val="8A8A7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2026-09-18T09:33:08.848Z</dcterms:created>
  <dcterms:modified xsi:type="dcterms:W3CDTF">2026-09-18T09:33:08.850Z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