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8A1F2D"/>
          <w:sz w:val="18"/>
          <w:szCs w:val="18"/>
        </w:rPr>
        <w:t xml:space="preserve">PRIMOVEX · DATA PROTECTION IMPACT ASSESSMENT</w:t>
      </w:r>
    </w:p>
    <w:p>
      <w:pPr>
        <w:spacing w:after="60"/>
      </w:pPr>
      <w:r>
        <w:rPr>
          <w:rFonts w:ascii="Cambria" w:cs="Cambria" w:eastAsia="Cambria" w:hAnsi="Cambria"/>
          <w:b/>
          <w:bCs/>
          <w:sz w:val="52"/>
          <w:szCs w:val="52"/>
        </w:rPr>
        <w:t xml:space="preserve">Primovex DPIA Draft</w:t>
      </w:r>
    </w:p>
    <w:p>
      <w:pPr>
        <w:spacing w:after="240"/>
      </w:pPr>
      <w:r>
        <w:rPr>
          <w:color w:val="5B5B52"/>
          <w:sz w:val="22"/>
          <w:szCs w:val="22"/>
        </w:rPr>
        <w:t xml:space="preserve">Data Protection Impact Assessment · Version 0.2 · Draft for review</w:t>
      </w:r>
    </w:p>
    <w:p>
      <w:pPr>
        <w:spacing w:after="100" w:line="276"/>
      </w:pPr>
      <w:r>
        <w:t xml:space="preserve">Prepared as a working draft to support formal DPIA sign-off under Article 35 UK GDPR. Compiled from direct technical review of the system. Fields marked "</w:t>
      </w:r>
      <w:r>
        <w:rPr>
          <w:b/>
          <w:bCs/>
          <w:i/>
          <w:iCs/>
          <w:color w:val="96631A"/>
        </w:rPr>
        <w:t xml:space="preserve">To be completed</w:t>
      </w:r>
      <w:r>
        <w:t xml:space="preserve">" need input from the practice's Data Protection Officer / Caldicott Guardian and are not something a technical review can supply.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Controller</w:t>
            </w:r>
          </w:p>
        </w:tc>
        <w:tc>
          <w:tcPr>
            <w:tcW w:type="dxa" w:w="70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[Practice name]</w:t>
            </w:r>
          </w:p>
        </w:tc>
      </w:tr>
      <w:tr>
        <w:tc>
          <w:tcPr>
            <w:tcW w:type="dxa" w:w="26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DPO / Caldicott Guardian</w:t>
            </w:r>
          </w:p>
        </w:tc>
        <w:tc>
          <w:tcPr>
            <w:tcW w:type="dxa" w:w="70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[Name]</w:t>
            </w:r>
          </w:p>
        </w:tc>
      </w:tr>
      <w:tr>
        <w:tc>
          <w:tcPr>
            <w:tcW w:type="dxa" w:w="26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System</w:t>
            </w:r>
          </w:p>
        </w:tc>
        <w:tc>
          <w:tcPr>
            <w:tcW w:type="dxa" w:w="70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Primovex v0.15.41</w:t>
            </w:r>
          </w:p>
        </w:tc>
      </w:tr>
      <w:tr>
        <w:tc>
          <w:tcPr>
            <w:tcW w:type="dxa" w:w="26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This version</w:t>
            </w:r>
          </w:p>
        </w:tc>
        <w:tc>
          <w:tcPr>
            <w:tcW w:type="dxa" w:w="70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0.2, 7 October 2026 (replaces 0.1 of 18 September 2026)</w:t>
            </w:r>
          </w:p>
        </w:tc>
      </w:tr>
      <w:tr>
        <w:tc>
          <w:tcPr>
            <w:tcW w:type="dxa" w:w="26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Reviewed by</w:t>
            </w:r>
          </w:p>
        </w:tc>
        <w:tc>
          <w:tcPr>
            <w:tcW w:type="dxa" w:w="70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[Name(s)]</w:t>
            </w:r>
          </w:p>
        </w:tc>
      </w:tr>
      <w:tr>
        <w:tc>
          <w:tcPr>
            <w:tcW w:type="dxa" w:w="26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Status</w:t>
            </w:r>
          </w:p>
        </w:tc>
        <w:tc>
          <w:tcPr>
            <w:tcW w:type="dxa" w:w="70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Draft, not yet approved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1F2D" w:sz="12"/>
              <w:left w:val="single" w:color="BFB9A8" w:sz="4"/>
              <w:bottom w:val="single" w:color="BFB9A8" w:sz="4"/>
              <w:right w:val="single" w:color="BFB9A8" w:sz="4"/>
            </w:tcBorders>
            <w:shd w:fill="F6E9E9" w:color="auto" w:val="clear"/>
            <w:tcMar>
              <w:top w:type="dxa" w:w="120"/>
              <w:left w:type="dxa" w:w="160"/>
              <w:bottom w:type="dxa" w:w="120"/>
              <w:right w:type="dxa" w:w="160"/>
            </w:tcMar>
          </w:tcPr>
          <w:p>
            <w:pPr>
              <w:spacing w:after="80"/>
            </w:pPr>
            <w:r>
              <w:rPr>
                <w:b/>
                <w:bCs/>
                <w:sz w:val="24"/>
                <w:szCs w:val="24"/>
              </w:rPr>
              <w:t xml:space="preserve">What has changed since version 0.1</w:t>
            </w:r>
          </w:p>
          <w:p>
            <w:pPr>
              <w:spacing w:after="60" w:line="276"/>
            </w:pPr>
            <w:r>
              <w:rPr>
                <w:sz w:val="20"/>
                <w:szCs w:val="20"/>
              </w:rPr>
              <w:t xml:space="preserve">Version 0.1 covered Concerns, SARs, Inventory and Temperature. Primovex has since gained four things that process personal data in new ways, and a fifth, Significant events, added on 8 October 2026. Each is described below and has its own risks and measures.</w:t>
            </w:r>
          </w:p>
          <w:p>
            <w:pPr>
              <w:spacing w:after="60" w:line="276"/>
            </w:pPr>
            <w:r>
              <w:rPr>
                <w:sz w:val="20"/>
                <w:szCs w:val="20"/>
              </w:rPr>
              <w:t xml:space="preserve">1. Staff accounts, departments and the organisation chart (Step 2B).</w:t>
            </w:r>
          </w:p>
          <w:p>
            <w:pPr>
              <w:spacing w:after="60" w:line="276"/>
            </w:pPr>
            <w:r>
              <w:rPr>
                <w:sz w:val="20"/>
                <w:szCs w:val="20"/>
              </w:rPr>
              <w:t xml:space="preserve">2. Sign-in and activity records: a report of when staff signed in, which areas of the app they used and for how long (Step 2C). This is a form of monitoring of staff.</w:t>
            </w:r>
          </w:p>
          <w:p>
            <w:pPr>
              <w:spacing w:after="60" w:line="276"/>
            </w:pPr>
            <w:r>
              <w:rPr>
                <w:sz w:val="20"/>
                <w:szCs w:val="20"/>
              </w:rPr>
              <w:t xml:space="preserve">3. The Orb's AI language assistant, which uses Microsoft Azure OpenAI (Step 2D). Two separate switches, both off by default.</w:t>
            </w:r>
          </w:p>
          <w:p>
            <w:pPr>
              <w:spacing w:after="60" w:line="276"/>
            </w:pPr>
            <w:r>
              <w:rPr>
                <w:sz w:val="20"/>
                <w:szCs w:val="20"/>
              </w:rPr>
              <w:t xml:space="preserve">4. Staff-to-staff messages and reminders sent through the app (Step 2E).</w:t>
            </w:r>
          </w:p>
          <w:p>
            <w:pPr>
              <w:spacing w:after="60" w:line="276"/>
            </w:pPr>
            <w:r>
              <w:rPr>
                <w:sz w:val="20"/>
                <w:szCs w:val="20"/>
              </w:rPr>
              <w:t xml:space="preserve">Technical safeguards have also grown (Appendix A). Several decisions are needed from the DPO before sign-off (Appendix C).</w:t>
            </w:r>
          </w:p>
        </w:tc>
      </w:tr>
    </w:tbl>
    <w:p>
      <w:pPr>
        <w:spacing w:after="120"/>
      </w:pPr>
    </w:p>
    <w:p>
      <w:pPr>
        <w:pStyle w:val="Heading1"/>
        <w:keepNext/>
        <w:spacing w:after="120" w:before="360"/>
      </w:pPr>
      <w:r>
        <w:rPr>
          <w:rFonts w:ascii="Consolas" w:cs="Consolas" w:eastAsia="Consolas" w:hAnsi="Consolas"/>
          <w:b/>
          <w:bCs/>
          <w:color w:val="8A1F2D"/>
          <w:sz w:val="18"/>
          <w:szCs w:val="18"/>
        </w:rPr>
        <w:t xml:space="preserve">STEP 1</w:t>
      </w:r>
      <w:r>
        <w:t xml:space="preserve">  </w:t>
      </w:r>
      <w:r>
        <w:t xml:space="preserve">Identify the need for a DPIA</w:t>
      </w:r>
    </w:p>
    <w:p>
      <w:pPr>
        <w:spacing w:after="100" w:line="276"/>
      </w:pPr>
      <w:r>
        <w:t xml:space="preserve">Primovex is a practice management system used for stock and medicines inventory, cold-chain temperature monitoring, compliance recording, staff administration and governance case management, specifically Patient Safety Concerns (following the NHS Wales "Listening to People" pathway) and Subject Access Requests. It is introduced alongside the practice's core national systems (EMIS, Docman), not as a replacement for them.</w:t>
      </w:r>
    </w:p>
    <w:p>
      <w:pPr>
        <w:spacing w:after="100" w:line="276"/>
      </w:pPr>
      <w:r>
        <w:t xml:space="preserve">At least one ICO screening trigger applies, which is enough on its own to require a DPIA. Four now apply:</w:t>
      </w:r>
    </w:p>
    <w:p>
      <w:pPr>
        <w:pStyle w:val="ListParagraph"/>
        <w:numPr>
          <w:ilvl w:val="0"/>
          <w:numId w:val="2"/>
        </w:numPr>
        <w:spacing w:after="60" w:line="276"/>
      </w:pPr>
      <w:r>
        <w:t xml:space="preserve">Special category data. Concerns, SARs and Significant events relate to patient care and, even pseudonymised, fall within Article 9 health data by association.</w:t>
      </w:r>
    </w:p>
    <w:p>
      <w:pPr>
        <w:pStyle w:val="ListParagraph"/>
        <w:numPr>
          <w:ilvl w:val="0"/>
          <w:numId w:val="2"/>
        </w:numPr>
        <w:spacing w:after="60" w:line="276"/>
      </w:pPr>
      <w:r>
        <w:t xml:space="preserve">New technology. Governance case management in a dedicated tool, and now the use of generative AI (Azure OpenAI) inside the app, have not previously been assessed.</w:t>
      </w:r>
    </w:p>
    <w:p>
      <w:pPr>
        <w:pStyle w:val="ListParagraph"/>
        <w:numPr>
          <w:ilvl w:val="0"/>
          <w:numId w:val="2"/>
        </w:numPr>
        <w:spacing w:after="60" w:line="276"/>
      </w:pPr>
      <w:r>
        <w:t xml:space="preserve">Systematic monitoring of employees. The sign-in and activity records (Step 2C) record, for every member of staff, when they used the system and which areas they used.</w:t>
      </w:r>
    </w:p>
    <w:p>
      <w:pPr>
        <w:pStyle w:val="ListParagraph"/>
        <w:numPr>
          <w:ilvl w:val="0"/>
          <w:numId w:val="2"/>
        </w:numPr>
        <w:spacing w:after="60" w:line="276"/>
      </w:pPr>
      <w:r>
        <w:t xml:space="preserve">Systematic, practice-wide processing, used continuously by multiple staff roles.</w:t>
      </w:r>
    </w:p>
    <w:p>
      <w:pPr>
        <w:spacing w:after="100" w:line="276"/>
      </w:pPr>
      <w:r>
        <w:t xml:space="preserve">Conclusion: a DPIA is required before Primovex's governance modules are relied upon as the practice's primary record, and before the AI features or the staff activity report are used with real staff.</w:t>
      </w:r>
    </w:p>
    <w:p>
      <w:pPr>
        <w:pStyle w:val="Heading1"/>
        <w:keepNext/>
        <w:spacing w:after="120" w:before="360"/>
      </w:pPr>
      <w:r>
        <w:rPr>
          <w:rFonts w:ascii="Consolas" w:cs="Consolas" w:eastAsia="Consolas" w:hAnsi="Consolas"/>
          <w:b/>
          <w:bCs/>
          <w:color w:val="8A1F2D"/>
          <w:sz w:val="18"/>
          <w:szCs w:val="18"/>
        </w:rPr>
        <w:t xml:space="preserve">STEP 2</w:t>
      </w:r>
      <w:r>
        <w:t xml:space="preserve">  </w:t>
      </w:r>
      <w:r>
        <w:t xml:space="preserve">Describe the processing</w:t>
      </w:r>
    </w:p>
    <w:p>
      <w:pPr>
        <w:pStyle w:val="Heading2"/>
        <w:keepNext/>
        <w:spacing w:after="100" w:before="240"/>
      </w:pPr>
      <w:r>
        <w:t xml:space="preserve">A. Governance and operations (unchanged from version 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74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Detail</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Collection</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Manually entered by practice staff on desktop or mobile at the point a concern, SAR, significant event, stock movement or temperature reading occurs.</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Stock review (added 9 October 2026)</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 daily check on the server reads the stock records and stock movements (which already record who used or counted an item) to find stock nobody has touched for six months, and stock that looks like too much or too little for how fast it is used. It writes a list for the Alerts page (item names, quantities and the name of the person who last handled the item) and sends a message to that person asking for a stock take, and a weekly summary to people who can verify stock. No patient data is involved. Emergency drugs, emergency equipment and kit stock are left out.</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Significant events (added 8 October 2026)</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Any member of staff can report a significant event. It records what happened (in words that name no one), the date, room, kind of event, level of harm and, if a patient was involved, their EMIS number (or initials and date of birth if there is none), never a name. Staff are referred to by role; the team can link staff by account to follow or review an event. Investigation findings, each reviewer's own review, the notes of significant event meetings (who attended, what was said about each event) and agreed actions are stored. People see only events they reported, lead, are named on or were asked to review; a Significant events team and partners (oversight) see all. Reviews and notes are kept for the life of the record like Concerns; the timeline cannot be edited or deleted. Notifications carry the reference and title only.</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Use</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Case tracking against statutory and pathway deadlines, correspondence logging, stock and cold-chain safety monitoring, staff-facing reporting (including annual category and outcome breakdowns for external returns such as the Welsh Risk Pool).</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Storage</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Google Cloud Firestore, EU multi-region (eur3). Application server logic (Cloud Functions) runs in europe-west2 (London, UK).</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Deletion</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Governance timeline, correspondence and stock-movement entries are immutable audit records. Stock items are archived (recoverable); permanently deleting a stock item needs a specific permission that only a System Admin or a role granted it holds. Concern cases and user accounts can be hard-deleted, restricted to System Admin, behind a confirmation step.</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Sharing</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Concerns correspondence is logged with named external bodies as part of the normal governance process. See the data-sharing map for the full list and current protocol status.</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Special category data</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Yes, by association: patient identifiers (EMIS number, or initials plus date of birth) and, for the person raising a concern when that differs from the patient, initials and a contact method. No patient name, address or full date-of-birth-plus-name combination is stored; that detail stays in the paper file, cross-referenced only by the Primovex case reference.</w:t>
            </w:r>
          </w:p>
        </w:tc>
      </w:tr>
    </w:tbl>
    <w:p>
      <w:pPr>
        <w:spacing w:after="120"/>
      </w:pPr>
    </w:p>
    <w:p>
      <w:pPr>
        <w:pStyle w:val="Heading2"/>
        <w:keepNext/>
        <w:spacing w:after="100" w:before="240"/>
      </w:pPr>
      <w:r>
        <w:t xml:space="preserve">B. Staff accounts, departments and the organisation chart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74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Detail</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Data</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For each member of staff: name, work email address, job role, department, who they report to, and whether they are highlighted on the chart. Their sign-in password is held by Google (Firebase Authentication), never by Primovex.</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Source</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Entered by a System Admin, singly or by importing a spreadsheet of the practice's staff list (approximately 60 people). The import shows exactly what it will do before it does anything and does not send any email; each person is later given a sign-in link by the administrator.</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Use</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Giving each person the access their job needs (role-based permissions), assigning tasks and SARs, showing the organisation chart, and printing the chart or a staff list by department.</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Who can see it</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staff list and chart are visible only to System Admins and roles granted user-management permission. Other staff see only a name and role where they must choose a colleague (for example to assign a SAR).</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Desktop orb and tray (Windows)</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On the Windows desktop app, closing the window can hide Primovex to the system tray instead of quitting, and a small always-on-top Pulse orb shows on the desktop while the window is minimised or hidden. The orb shows only a score and a one-line status such as a count of items. While Primovex runs in the tray the person stays signed in; the 15-minute lock and 12-hour session limit still apply. Each person can switch both off in the Pulse settings, and signing out quits as normal. Shared computers should be locked or signed out at the end of a shift under the practice's usual policy.</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Paper copies</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organisation chart and staff list can be printed. Printed copies are outside the system's controls and should be handled under the practice's normal paper-record policy.</w:t>
            </w:r>
          </w:p>
        </w:tc>
      </w:tr>
    </w:tbl>
    <w:p>
      <w:pPr>
        <w:spacing w:after="120"/>
      </w:pPr>
    </w:p>
    <w:p>
      <w:pPr>
        <w:pStyle w:val="Heading2"/>
        <w:keepNext/>
        <w:spacing w:after="100" w:before="240"/>
      </w:pPr>
      <w:r>
        <w:t xml:space="preserve">C. Sign-in and activity records (new): monitoring of staff</w:t>
      </w:r>
    </w:p>
    <w:p>
      <w:pPr>
        <w:spacing w:after="100" w:line="276"/>
      </w:pPr>
      <w:r>
        <w:t xml:space="preserve">Primovex records when people sign in and which parts of the app they use, so that an administrator can review access for security and audit purposes.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74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Detail</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What is recorded</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Name and role (taken from the person's own account, not from what the app says), when a session started and ended or was last active, the type of device (for example Windows or Android) and a random device identifier created by the app, how the session ended (signed out, timed out, closed), and, per area of the app, how many times it was visited and how long the person was actively there. An "area" is only the top one or two levels of the address, for example Inventory or Governance / SARs.</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What is not recorded</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Anything typed or searched, which record was opened, any patient or concern detail, the content of any screen. Time spent is only counted while the window is visible and the person has used the screen or keyboard within the last five minutes.</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How it is protected</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times and the person's identity are set by the server, not the device, and the server will not credit more active time than has actually passed, so a person cannot alter their own record. Nobody can edit or delete the records from the app; only the server writes them.</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Who can see it</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System Admins, and any role that has been given the audit-read permission. Built-in roles with audit-read: System Admin and Practice Manager. The practice can create or change roles to narrow this.</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Flags shown to the reviewer</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Sign-ins outside 06:00 to 22:00, sessions over 12 hours, and being signed in on two devices at the same time. These are prompts to look, not findings.</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Related audit entries</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governed audit ledger records password sign-ins and sign-outs, and an entry when the app is opened with an existing sign-in. (Recorded without any app content.)</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Retention</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Sign-in and activity records are deleted automatically after 12 months by a weekly clean-up. The audit ledger is append-only and follows its own retention schedule. The 12-month period is a proposal for the DPO to approve.</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Not captured</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Failed sign-in attempts happen before anyone is identified and are held by Firebase Authentication, not Primovex.</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Purpose limit (proposed)</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Security, audit and the investigation of suspected misuse. Not to be used for routine performance management. The controller must decide and record this.</w:t>
            </w:r>
          </w:p>
        </w:tc>
      </w:tr>
    </w:tbl>
    <w:p>
      <w:pPr>
        <w:spacing w:after="120"/>
      </w:pPr>
    </w:p>
    <w:p>
      <w:pPr>
        <w:pStyle w:val="Heading2"/>
        <w:keepNext/>
        <w:spacing w:after="100" w:before="240"/>
      </w:pPr>
      <w:r>
        <w:t xml:space="preserve">D. The Orb's AI language assistant (new)</w:t>
      </w:r>
    </w:p>
    <w:p>
      <w:pPr>
        <w:spacing w:after="100" w:line="276"/>
      </w:pPr>
      <w:r>
        <w:t xml:space="preserve">The Orb is Primovex's assistant. It answers questions about the practice (stock, fridges, cleaning, alerts and similar) from approved lookups, and can now also prepare four actions for a person to confirm: a short message to a team (everyone with a role such as HCA), a reorder request for a stock item, recording stock that has been used (which product, how many, from where and which batch), and reporting a significant event. Nothing is sent or created until the person presses Confirm on a card that shows exactly what will happen; the card expires after 15 minutes, can be used once, and is checked against the person's permissions again. The messages can't contain numbers, dates, email addresses or phone numbers, so patient details are refused, and each use is recorded in the audit trail. Until recently it understood only fixed phrases. Two optional AI features now use Microsoft Azure OpenAI. Both are switched off until a System Admin turns each one on, with a confirmation that the region and this DPIA have been checked. They are independent.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tblHeader/>
        </w:trPr>
        <w:tc>
          <w:tcPr>
            <w:tcW w:type="dxa" w:w="19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p>
        </w:tc>
        <w:tc>
          <w:tcPr>
            <w:tcW w:type="dxa" w:w="3869"/>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Switch 1: understanding questions</w:t>
            </w:r>
          </w:p>
        </w:tc>
        <w:tc>
          <w:tcPr>
            <w:tcW w:type="dxa" w:w="3869"/>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Switch 2: wording the answers</w:t>
            </w:r>
          </w:p>
        </w:tc>
      </w:tr>
      <w:tr>
        <w:trPr>
          <w:cantSplit/>
        </w:trPr>
        <w:tc>
          <w:tcPr>
            <w:tcW w:type="dxa" w:w="1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What it does</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When the Orb's own rules do not recognise a question, the AI chooses which approved lookup fits and fills in one or two parameters (for example the item name).</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Puts an answer the Orb has already found into friendlier, clearer words.</w:t>
            </w:r>
          </w:p>
        </w:tc>
      </w:tr>
      <w:tr>
        <w:trPr>
          <w:cantSplit/>
        </w:trPr>
        <w:tc>
          <w:tcPr>
            <w:tcW w:type="dxa" w:w="1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What is sent to Azure</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question as typed, after numbers, dates, email addresses and phone numbers are removed, and the list of lookups that person is permitted to use.</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question (scrubbed the same way) and the answer's facts: item, room, fridge and space names, counts and dates (scrubbed the same way).</w:t>
            </w:r>
          </w:p>
        </w:tc>
      </w:tr>
      <w:tr>
        <w:trPr>
          <w:cantSplit/>
        </w:trPr>
        <w:tc>
          <w:tcPr>
            <w:tcW w:type="dxa" w:w="1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Never sent</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Any stock, temperature, staff, patient or governance data. The user's name, email or role. Concern, SAR and significant event lookups, and reporting an event through the Orb, are never offered. A permanent notice in the Orb says: Please do not add any patient names to the Orb. Use EMIS numbers only.</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Answers from tasks, notes, maintenance, the timeline, who cleaned or saw something, the team list, concerns or SARs. Those lookups are excluded.</w:t>
            </w:r>
          </w:p>
        </w:tc>
      </w:tr>
      <w:tr>
        <w:trPr>
          <w:cantSplit/>
        </w:trPr>
        <w:tc>
          <w:tcPr>
            <w:tcW w:type="dxa" w:w="1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What comes back</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 lookup name and parameters, checked on the server against that person's permissions and the lookup's rules. Anything else is discarded.</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Reworded text. If it contains any number not in the facts, drops a warning (out of range, expired, out of stock), or contains a link, it is discarded and the original wording is used.</w:t>
            </w:r>
          </w:p>
        </w:tc>
      </w:tr>
      <w:tr>
        <w:trPr>
          <w:cantSplit/>
        </w:trPr>
        <w:tc>
          <w:tcPr>
            <w:tcW w:type="dxa" w:w="1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Limits</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30 per person per hour; 1,500 per day for the practice.</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30 per person per hour; 1,000 per day for the practice.</w:t>
            </w:r>
          </w:p>
        </w:tc>
      </w:tr>
      <w:tr>
        <w:trPr>
          <w:cantSplit/>
        </w:trPr>
        <w:tc>
          <w:tcPr>
            <w:tcW w:type="dxa" w:w="1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If it fails</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Orb behaves as before and asks what the person meant.</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original answer is shown.</w:t>
            </w:r>
          </w:p>
        </w:tc>
      </w:tr>
      <w:tr>
        <w:trPr>
          <w:cantSplit/>
        </w:trPr>
        <w:tc>
          <w:tcPr>
            <w:tcW w:type="dxa" w:w="1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Recorded in Primovex</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An audit entry per use: which lookup (or none) and timing. Never the question's words.</w:t>
            </w:r>
          </w:p>
        </w:tc>
        <w:tc>
          <w:tcPr>
            <w:tcW w:type="dxa" w:w="3869"/>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An audit entry per use: which lookup and whether the wording was used. Never the text.</w:t>
            </w:r>
          </w:p>
        </w:tc>
      </w:tr>
    </w:tbl>
    <w:p>
      <w:pPr>
        <w:spacing w:after="120"/>
      </w:pPr>
    </w:p>
    <w:p>
      <w:pPr>
        <w:pStyle w:val="ListParagraph"/>
        <w:numPr>
          <w:ilvl w:val="0"/>
          <w:numId w:val="2"/>
        </w:numPr>
        <w:spacing w:after="60" w:line="276"/>
      </w:pPr>
      <w:r>
        <w:t xml:space="preserve">Processor: Microsoft (Azure OpenAI). The Azure resource is the one already used by ClinFlow. Its region is UK South (stated by the Practice Manager on 7 October 2026). Microsoft's retention of prompts for abuse monitoring and the data processing terms are </w:t>
      </w:r>
      <w:r>
        <w:rPr>
          <w:b/>
          <w:bCs/>
          <w:i/>
          <w:iCs/>
          <w:color w:val="96631A"/>
        </w:rPr>
        <w:t xml:space="preserve">To be completed</w:t>
      </w:r>
      <w:r>
        <w:t xml:space="preserve"> (see Appendix C). The calls are made from the practice's Firebase server in London; the key is never in the app.</w:t>
      </w:r>
    </w:p>
    <w:p>
      <w:pPr>
        <w:pStyle w:val="ListParagraph"/>
        <w:numPr>
          <w:ilvl w:val="0"/>
          <w:numId w:val="2"/>
        </w:numPr>
        <w:spacing w:after="60" w:line="276"/>
      </w:pPr>
      <w:r>
        <w:t xml:space="preserve">No decision about a person is made by the AI. It only chooses a lookup or rewords an answer, and the AI never carries anything out. All lookups only read. The only changes the Orb can make are the four above (a team message, a reorder request, stock used, a significant event report), and only after the person presses Confirm.</w:t>
      </w:r>
    </w:p>
    <w:p>
      <w:pPr>
        <w:pStyle w:val="ListParagraph"/>
        <w:numPr>
          <w:ilvl w:val="0"/>
          <w:numId w:val="2"/>
        </w:numPr>
        <w:spacing w:after="60" w:line="276"/>
      </w:pPr>
      <w:r>
        <w:t xml:space="preserve">Free-text risk: staff could type a patient's name into the Orb. Numbers and dates are removed automatically, but names cannot be reliably detected. Staff guidance is required (Step 6).</w:t>
      </w:r>
    </w:p>
    <w:p>
      <w:pPr>
        <w:pStyle w:val="Heading2"/>
        <w:keepNext/>
        <w:spacing w:after="100" w:before="240"/>
      </w:pPr>
      <w:r>
        <w:t xml:space="preserve">D2. Speaking to the Orb on an iPhone (new)</w:t>
      </w:r>
    </w:p>
    <w:p>
      <w:pPr>
        <w:spacing w:after="100" w:line="276"/>
      </w:pPr>
      <w:r>
        <w:t xml:space="preserve">On an iPhone the Home Screen web app has no speech recognition of its own. A person taps the Orb, says a question, and the recording is turned into words so the Orb can answer as if it had been typed.</w:t>
      </w:r>
    </w:p>
    <w:p>
      <w:pPr>
        <w:pStyle w:val="ListParagraph"/>
        <w:numPr>
          <w:ilvl w:val="0"/>
          <w:numId w:val="2"/>
        </w:numPr>
        <w:spacing w:after="60" w:line="276"/>
      </w:pPr>
      <w:r>
        <w:t xml:space="preserve">What is sent: one short recording (up to 20 seconds, 16 kHz, no more than a sentence or two) from the person's phone to a Primovex Cloud Function, and from there to Google Cloud Speech-to-Text through its EU endpoint. Optional hints are the practice's own stock names.</w:t>
      </w:r>
    </w:p>
    <w:p>
      <w:pPr>
        <w:pStyle w:val="ListParagraph"/>
        <w:numPr>
          <w:ilvl w:val="0"/>
          <w:numId w:val="2"/>
        </w:numPr>
        <w:spacing w:after="60" w:line="276"/>
      </w:pPr>
      <w:r>
        <w:t xml:space="preserve">What is kept: nothing. The recording is held in memory for that one request and is not stored by Primovex or written to any log. The words that come back are used exactly like typed text and are not stored by the speech step.</w:t>
      </w:r>
    </w:p>
    <w:p>
      <w:pPr>
        <w:pStyle w:val="ListParagraph"/>
        <w:numPr>
          <w:ilvl w:val="0"/>
          <w:numId w:val="2"/>
        </w:numPr>
        <w:spacing w:after="60" w:line="276"/>
      </w:pPr>
      <w:r>
        <w:t xml:space="preserve">Processor: Google Cloud (the same project and data processing addendum as Firebase). Processing is in the EU, not specifically the UK. </w:t>
      </w:r>
      <w:r>
        <w:rPr>
          <w:b/>
          <w:bCs/>
          <w:i/>
          <w:iCs/>
          <w:color w:val="96631A"/>
        </w:rPr>
        <w:t xml:space="preserve">To be completed</w:t>
      </w:r>
      <w:r>
        <w:t xml:space="preserve">: confirm this is acceptable under the UK-only hosting decision, and confirm Google's retention terms for Speech-to-Text requests that do not opt in to data logging.</w:t>
      </w:r>
    </w:p>
    <w:p>
      <w:pPr>
        <w:pStyle w:val="ListParagraph"/>
        <w:numPr>
          <w:ilvl w:val="0"/>
          <w:numId w:val="2"/>
        </w:numPr>
        <w:spacing w:after="60" w:line="276"/>
      </w:pPr>
      <w:r>
        <w:t xml:space="preserve">Risk: staff could say a patient's name aloud. The same notice and guidance as for typing applies (Step 6): do not say patient names; use EMIS numbers only. Spoken numbers are not removed by the speech step.</w:t>
      </w:r>
    </w:p>
    <w:p>
      <w:pPr>
        <w:pStyle w:val="ListParagraph"/>
        <w:numPr>
          <w:ilvl w:val="0"/>
          <w:numId w:val="2"/>
        </w:numPr>
        <w:spacing w:after="60" w:line="276"/>
      </w:pPr>
      <w:r>
        <w:t xml:space="preserve">Limits: 60 per person per hour and 400 per day for the practice. Only signed-in people can use it.</w:t>
      </w:r>
    </w:p>
    <w:p>
      <w:pPr>
        <w:pStyle w:val="Heading2"/>
        <w:keepNext/>
        <w:spacing w:after="100" w:before="240"/>
      </w:pPr>
      <w:r>
        <w:t xml:space="preserve">D3. Alerts on staff phones (new)</w:t>
      </w:r>
    </w:p>
    <w:p>
      <w:pPr>
        <w:spacing w:after="100" w:line="276"/>
      </w:pPr>
      <w:r>
        <w:t xml:space="preserve">Primovex can show an alert on a person's phone lock screen when something new arrives in their notifications. A person switches this on themselves, on each phone, in Me then Phone alerts.</w:t>
      </w:r>
    </w:p>
    <w:p>
      <w:pPr>
        <w:pStyle w:val="ListParagraph"/>
        <w:numPr>
          <w:ilvl w:val="0"/>
          <w:numId w:val="2"/>
        </w:numPr>
        <w:spacing w:after="60" w:line="276"/>
      </w:pPr>
      <w:r>
        <w:t xml:space="preserve">What is kept: a push address for each phone the person switched alerts on for, under their own account (readable only by Primovex's server, not by any person or the app). It is deleted when the person switches alerts off or when the phone no longer accepts alerts.</w:t>
      </w:r>
    </w:p>
    <w:p>
      <w:pPr>
        <w:pStyle w:val="ListParagraph"/>
        <w:numPr>
          <w:ilvl w:val="0"/>
          <w:numId w:val="2"/>
        </w:numPr>
        <w:spacing w:after="60" w:line="276"/>
      </w:pPr>
      <w:r>
        <w:t xml:space="preserve">What a lock screen can show: the title and a short line for an operational alert (a fridge out of range, a failed check); who a message is from, never its words; and for anything about governance (SARs, concerns, significant events) only the words You have a new notification. No patient details are ever put in an alert.</w:t>
      </w:r>
    </w:p>
    <w:p>
      <w:pPr>
        <w:pStyle w:val="ListParagraph"/>
        <w:numPr>
          <w:ilvl w:val="0"/>
          <w:numId w:val="2"/>
        </w:numPr>
        <w:spacing w:after="60" w:line="276"/>
      </w:pPr>
      <w:r>
        <w:t xml:space="preserve">Processor: Google Cloud (Firebase Cloud Messaging) and the phone maker's push service (Apple or Google) carry the alert to the phone. </w:t>
      </w:r>
      <w:r>
        <w:rPr>
          <w:b/>
          <w:bCs/>
          <w:i/>
          <w:iCs/>
          <w:color w:val="96631A"/>
        </w:rPr>
        <w:t xml:space="preserve">To be completed</w:t>
      </w:r>
      <w:r>
        <w:t xml:space="preserve">: confirm these are covered by the review of Google's data processing addendum, and note that Apple's push service is a further processor for iPhones.</w:t>
      </w:r>
    </w:p>
    <w:p>
      <w:pPr>
        <w:pStyle w:val="Heading2"/>
        <w:keepNext/>
        <w:spacing w:after="100" w:before="240"/>
      </w:pPr>
      <w:r>
        <w:t xml:space="preserve">E. Staff messages, reminders and notifications (new)</w:t>
      </w:r>
    </w:p>
    <w:p>
      <w:pPr>
        <w:spacing w:after="100" w:line="276"/>
      </w:pPr>
      <w:r>
        <w:t xml:space="preserve">Primovex sends in-app notifications: SAR and concern deadline reminders to the assigned person and, when overdue, their manager; a message from one colleague to another about a kit item during a check (up to 300 characters, typed by the sender); and a reminder to oneself. Messages are visible only to the recipient. Free text typed into a message is a place where someone could put identifying detail; staff guidance covers this. How long notifications are kept in an inbox is </w:t>
      </w:r>
      <w:r>
        <w:rPr>
          <w:b/>
          <w:bCs/>
          <w:i/>
          <w:iCs/>
          <w:color w:val="96631A"/>
        </w:rPr>
        <w:t xml:space="preserve">To be completed</w:t>
      </w:r>
      <w:r>
        <w:t xml:space="preserve"> and needs a retention decision.</w:t>
      </w:r>
    </w:p>
    <w:p>
      <w:pPr>
        <w:pStyle w:val="Heading2"/>
        <w:keepNext/>
        <w:spacing w:after="100" w:before="240"/>
      </w:pPr>
      <w:r>
        <w:t xml:space="preserve">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Dimension</w:t>
            </w:r>
          </w:p>
        </w:tc>
        <w:tc>
          <w:tcPr>
            <w:tcW w:type="dxa" w:w="74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Detail</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Data subjects</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Patients (via pseudonymised reference only; Primovex has no patient-facing interface). Practice staff: direct personal data (name, email, role, department, reporting line, sign-in times and areas used).</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Volume</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b/>
                <w:bCs/>
                <w:i/>
                <w:iCs/>
                <w:color w:val="96631A"/>
                <w:sz w:val="19"/>
                <w:szCs w:val="19"/>
              </w:rPr>
              <w:t xml:space="preserve">To be completed</w:t>
            </w:r>
            <w:r>
              <w:rPr>
                <w:sz w:val="19"/>
                <w:szCs w:val="19"/>
              </w:rPr>
              <w:t xml:space="preserve">. Approximate registered list size and typical annual Concerns/SARs volume; about 60 staff accounts.</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Geographic scope</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Single GP practice, North Wales (BCUHB area).</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Duration</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Ongoing operational use; no defined end date.</w:t>
            </w:r>
          </w:p>
        </w:tc>
      </w:tr>
      <w:tr>
        <w:trPr>
          <w:cantSplit/>
        </w:trPr>
        <w:tc>
          <w:tcPr>
            <w:tcW w:type="dxa" w:w="2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Frequency</w:t>
            </w:r>
          </w:p>
        </w:tc>
        <w:tc>
          <w:tcPr>
            <w:tcW w:type="dxa" w:w="7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Continuous, multiple staff, daily use.</w:t>
            </w:r>
          </w:p>
        </w:tc>
      </w:tr>
    </w:tbl>
    <w:p>
      <w:pPr>
        <w:spacing w:after="120"/>
      </w:pPr>
    </w:p>
    <w:p>
      <w:pPr>
        <w:pStyle w:val="Heading3"/>
        <w:keepNext/>
        <w:spacing w:after="60" w:before="180"/>
      </w:pPr>
      <w:r>
        <w:t xml:space="preserve">Context</w:t>
      </w:r>
    </w:p>
    <w:p>
      <w:pPr>
        <w:spacing w:after="100" w:line="276"/>
      </w:pPr>
      <w:r>
        <w:t xml:space="preserve">Patients do not interact with Primovex and have no visibility of it as a distinct system. Patients raising a Concern shortly after a clinical incident may be vulnerable at the point data is recorded, which is a reason for the deliberate identifier minimisation already built in. Staff are the people most affected by the new processing: they will be recorded using the system and may use the AI assistant. Their reasonable expectations, and what they have been told, matter (Step 4).</w:t>
      </w:r>
    </w:p>
    <w:p>
      <w:pPr>
        <w:pStyle w:val="Heading3"/>
        <w:keepNext/>
        <w:spacing w:after="60" w:before="180"/>
      </w:pPr>
      <w:r>
        <w:t xml:space="preserve">Purposes</w:t>
      </w:r>
    </w:p>
    <w:p>
      <w:pPr>
        <w:spacing w:after="100" w:line="276"/>
      </w:pPr>
      <w:r>
        <w:t xml:space="preserve">To record and manage patient safety concerns and SARs within their timescales with an auditable trail; to support cold-chain safety and accurate stock; to give staff the right access and help them find information quickly; and to keep a reviewable record of system access for security and audit. The intended effect on individuals is faster, more consistent handling of their concern or request, and a lower risk of a cold-chain failure.</w:t>
      </w:r>
    </w:p>
    <w:p>
      <w:pPr>
        <w:pStyle w:val="Heading1"/>
        <w:keepNext/>
        <w:spacing w:after="120" w:before="360"/>
      </w:pPr>
      <w:r>
        <w:rPr>
          <w:rFonts w:ascii="Consolas" w:cs="Consolas" w:eastAsia="Consolas" w:hAnsi="Consolas"/>
          <w:b/>
          <w:bCs/>
          <w:color w:val="8A1F2D"/>
          <w:sz w:val="18"/>
          <w:szCs w:val="18"/>
        </w:rPr>
        <w:t xml:space="preserve">STEP 3</w:t>
      </w:r>
      <w:r>
        <w:t xml:space="preserve">  </w:t>
      </w:r>
      <w:r>
        <w:t xml:space="preserve">Consultation process</w:t>
      </w:r>
    </w:p>
    <w:p>
      <w:pPr>
        <w:spacing w:after="100" w:line="276"/>
      </w:pPr>
      <w:r>
        <w:rPr>
          <w:b/>
          <w:bCs/>
          <w:i/>
          <w:iCs/>
          <w:color w:val="96631A"/>
        </w:rPr>
        <w:t xml:space="preserve">To be completed</w:t>
      </w:r>
      <w:r>
        <w:t xml:space="preserve"> by the practice. This draft was produced from technical review, not consultation. Before sign-off, consider recording:</w:t>
      </w:r>
    </w:p>
    <w:p>
      <w:pPr>
        <w:pStyle w:val="ListParagraph"/>
        <w:numPr>
          <w:ilvl w:val="0"/>
          <w:numId w:val="2"/>
        </w:numPr>
        <w:spacing w:after="60" w:line="276"/>
      </w:pPr>
      <w:r>
        <w:t xml:space="preserve">Consultation with the staff who will use Concerns/SARs day to day on whether the recorded fields and workflow match how they work.</w:t>
      </w:r>
    </w:p>
    <w:p>
      <w:pPr>
        <w:pStyle w:val="ListParagraph"/>
        <w:numPr>
          <w:ilvl w:val="0"/>
          <w:numId w:val="2"/>
        </w:numPr>
        <w:spacing w:after="60" w:line="276"/>
      </w:pPr>
      <w:r>
        <w:t xml:space="preserve">Consultation with staff (and any representative body) about the sign-in and activity records and the Orb's AI features, before they are relied upon. Monitoring staff without telling them, or without a clear purpose, is a significant risk.</w:t>
      </w:r>
    </w:p>
    <w:p>
      <w:pPr>
        <w:pStyle w:val="ListParagraph"/>
        <w:numPr>
          <w:ilvl w:val="0"/>
          <w:numId w:val="2"/>
        </w:numPr>
        <w:spacing w:after="60" w:line="276"/>
      </w:pPr>
      <w:r>
        <w:t xml:space="preserve">Consultation with BCUHB's Information Governance team on the data-sharing implications in the data-sharing map.</w:t>
      </w:r>
    </w:p>
    <w:p>
      <w:pPr>
        <w:pStyle w:val="ListParagraph"/>
        <w:numPr>
          <w:ilvl w:val="0"/>
          <w:numId w:val="2"/>
        </w:numPr>
        <w:spacing w:after="60" w:line="276"/>
      </w:pPr>
      <w:r>
        <w:t xml:space="preserve">Whether patient or PPG input is appropriate for a system patients do not interact with: a judgement for the DPO.</w:t>
      </w:r>
    </w:p>
    <w:p>
      <w:pPr>
        <w:pStyle w:val="Heading1"/>
        <w:keepNext/>
        <w:spacing w:after="120" w:before="360"/>
      </w:pPr>
      <w:r>
        <w:rPr>
          <w:rFonts w:ascii="Consolas" w:cs="Consolas" w:eastAsia="Consolas" w:hAnsi="Consolas"/>
          <w:b/>
          <w:bCs/>
          <w:color w:val="8A1F2D"/>
          <w:sz w:val="18"/>
          <w:szCs w:val="18"/>
        </w:rPr>
        <w:t xml:space="preserve">STEP 4</w:t>
      </w:r>
      <w:r>
        <w:t xml:space="preserve">  </w:t>
      </w:r>
      <w:r>
        <w:t xml:space="preserve">Assess necessity and proportionality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Measure</w:t>
            </w:r>
          </w:p>
        </w:tc>
        <w:tc>
          <w:tcPr>
            <w:tcW w:type="dxa" w:w="72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Position</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Lawful basis (patient data)</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Likely Article 6(1)(e) (public task) with Article 9(2)(h) (health or social care purposes), consistent with the practice's existing basis for clinical systems. </w:t>
            </w:r>
            <w:r>
              <w:rPr>
                <w:b/>
                <w:bCs/>
                <w:i/>
                <w:iCs/>
                <w:color w:val="96631A"/>
                <w:sz w:val="19"/>
                <w:szCs w:val="19"/>
              </w:rPr>
              <w:t xml:space="preserve">To be completed</w:t>
            </w:r>
            <w:r>
              <w:rPr>
                <w:sz w:val="19"/>
                <w:szCs w:val="19"/>
              </w:rPr>
              <w:t xml:space="preserve">: DPO to confirm this extends to Primovex's governance function.</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Lawful basis (staff accounts)</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Employment and contract administration, and the practice's public task. </w:t>
            </w:r>
            <w:r>
              <w:rPr>
                <w:b/>
                <w:bCs/>
                <w:i/>
                <w:iCs/>
                <w:color w:val="96631A"/>
                <w:sz w:val="19"/>
                <w:szCs w:val="19"/>
              </w:rPr>
              <w:t xml:space="preserve">To be completed</w:t>
            </w:r>
            <w:r>
              <w:rPr>
                <w:sz w:val="19"/>
                <w:szCs w:val="19"/>
              </w:rPr>
              <w:t xml:space="preserve">.</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Lawful basis (activity records)</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Needs a stated basis and, if legitimate interests, a recorded assessment of the interests, necessity and balance against staff rights. </w:t>
            </w:r>
            <w:r>
              <w:rPr>
                <w:b/>
                <w:bCs/>
                <w:i/>
                <w:iCs/>
                <w:color w:val="96631A"/>
                <w:sz w:val="19"/>
                <w:szCs w:val="19"/>
              </w:rPr>
              <w:t xml:space="preserve">To be completed</w:t>
            </w:r>
            <w:r>
              <w:rPr>
                <w:sz w:val="19"/>
                <w:szCs w:val="19"/>
              </w:rPr>
              <w:t xml:space="preserve"> by the DPO. Less intrusive alternatives considered: recording only sign-ins (rejected: gives no view of what an account was used for if misused); recording content or screens (rejected as excessive; the design deliberately records areas only).</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Lawful basis (AI processing)</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question text and answer facts are, by design, not personal data about patients, but may contain staff identifiers if someone types them. </w:t>
            </w:r>
            <w:r>
              <w:rPr>
                <w:b/>
                <w:bCs/>
                <w:i/>
                <w:iCs/>
                <w:color w:val="96631A"/>
                <w:sz w:val="19"/>
                <w:szCs w:val="19"/>
              </w:rPr>
              <w:t xml:space="preserve">To be completed</w:t>
            </w:r>
            <w:r>
              <w:rPr>
                <w:sz w:val="19"/>
                <w:szCs w:val="19"/>
              </w:rPr>
              <w:t xml:space="preserve">.</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Data minimisation</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Patient identity is EMIS number or initials plus date of birth, never a name. Activity records hold areas and times only. The AI is shown only a scrubbed question and, for the optional wording feature, the answer's facts from cleared lookups. It is never shown staff, patient or governance data.</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Function creep</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Access is capability-based, enforced at both the application and database layers. The activity report is read-only and cannot be edited by anyone. The proposed purpose limit for activity records is stated above. The AI cannot take actions. The Orb's actions (team message, reorder request, stock used, significant event report) need an explicit Confirm, the same permission as doing it by hand, and are audited.</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Transparency</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Staff must be told about the activity records and the AI features in the staff privacy notice and acceptable-use guidance. </w:t>
            </w:r>
            <w:r>
              <w:rPr>
                <w:b/>
                <w:bCs/>
                <w:i/>
                <w:iCs/>
                <w:color w:val="96631A"/>
                <w:sz w:val="19"/>
                <w:szCs w:val="19"/>
              </w:rPr>
              <w:t xml:space="preserve">To be completed</w:t>
            </w:r>
            <w:r>
              <w:rPr>
                <w:sz w:val="19"/>
                <w:szCs w:val="19"/>
              </w:rPr>
              <w:t xml:space="preserve">: not yet done. The Orb itself labels an answer when the language assistant was involved.</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Individual rights</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Patients exercise rights through the practice's existing EMIS and SAR process. Staff can request their own activity records through the practice's normal subject access route; records are deleted after 12 months.</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Automated decisions</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None. The AI chooses a lookup or rewords text; no decision about any person is made or recommended by it.</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Processors</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Google Cloud (Firebase) under its standard data processing addendum: </w:t>
            </w:r>
            <w:r>
              <w:rPr>
                <w:b/>
                <w:bCs/>
                <w:i/>
                <w:iCs/>
                <w:color w:val="96631A"/>
                <w:sz w:val="19"/>
                <w:szCs w:val="19"/>
              </w:rPr>
              <w:t xml:space="preserve">To be completed</w:t>
            </w:r>
            <w:r>
              <w:rPr>
                <w:sz w:val="19"/>
                <w:szCs w:val="19"/>
              </w:rPr>
              <w:t xml:space="preserve">, confirm it has been reviewed and is on file. Microsoft (Azure OpenAI) under Microsoft's data protection terms: </w:t>
            </w:r>
            <w:r>
              <w:rPr>
                <w:b/>
                <w:bCs/>
                <w:i/>
                <w:iCs/>
                <w:color w:val="96631A"/>
                <w:sz w:val="19"/>
                <w:szCs w:val="19"/>
              </w:rPr>
              <w:t xml:space="preserve">To be completed</w:t>
            </w:r>
            <w:r>
              <w:rPr>
                <w:sz w:val="19"/>
                <w:szCs w:val="19"/>
              </w:rPr>
              <w:t xml:space="preserve">, confirm the agreement, the resource's region and whether prompts are retained for abuse monitoring (Microsoft's default can be up to 30 days unless an exemption is approved), and that data is not used to train models.</w:t>
            </w:r>
          </w:p>
        </w:tc>
      </w:tr>
      <w:tr>
        <w:trPr>
          <w:cantSplit/>
        </w:trPr>
        <w:tc>
          <w:tcPr>
            <w:tcW w:type="dxa" w:w="24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International transfers</w:t>
            </w:r>
          </w:p>
        </w:tc>
        <w:tc>
          <w:tcPr>
            <w:tcW w:type="dxa" w:w="72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Data resides in the EU (eur3); application logic runs in the UK (europe-west2). The Azure OpenAI resource is in UK South (stated by the Practice Manager on 7 October 2026), so no transfer outside the UK is expected; the region should be checked against the Azure portal when this is signed off.</w:t>
            </w:r>
          </w:p>
        </w:tc>
      </w:tr>
    </w:tbl>
    <w:p>
      <w:pPr>
        <w:spacing w:after="120"/>
      </w:pPr>
    </w:p>
    <w:p>
      <w:pPr>
        <w:pStyle w:val="Heading1"/>
        <w:keepNext/>
        <w:spacing w:after="120" w:before="360"/>
      </w:pPr>
      <w:r>
        <w:rPr>
          <w:rFonts w:ascii="Consolas" w:cs="Consolas" w:eastAsia="Consolas" w:hAnsi="Consolas"/>
          <w:b/>
          <w:bCs/>
          <w:color w:val="8A1F2D"/>
          <w:sz w:val="18"/>
          <w:szCs w:val="18"/>
        </w:rPr>
        <w:t xml:space="preserve">STEP 5</w:t>
      </w:r>
      <w:r>
        <w:t xml:space="preserve">  </w:t>
      </w:r>
      <w:r>
        <w:t xml:space="preserve">Identify and assess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1700"/>
        <w:gridCol w:w="1738"/>
        <w:gridCol w:w="1300"/>
      </w:tblGrid>
      <w:tr>
        <w:trPr>
          <w:tblHeader/>
        </w:trPr>
        <w:tc>
          <w:tcPr>
            <w:tcW w:type="dxa" w:w="49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Risk</w:t>
            </w:r>
          </w:p>
        </w:tc>
        <w:tc>
          <w:tcPr>
            <w:tcW w:type="dxa" w:w="17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Likelihood</w:t>
            </w:r>
          </w:p>
        </w:tc>
        <w:tc>
          <w:tcPr>
            <w:tcW w:type="dxa" w:w="17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Severity</w:t>
            </w:r>
          </w:p>
        </w:tc>
        <w:tc>
          <w:tcPr>
            <w:tcW w:type="dxa" w:w="13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Overall</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Unauthorised access to Concerns/SARs data via a compromised or over-privileged account</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Session left unattended on a shared device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Accidental data loss or corruption</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Remote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Data shared with an external body without a documented sharing agreement</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Probable (several such flows exist informally)</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High</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Re-identification of a patient by combining Primovex's pseudonymised reference with other information</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Remote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Undetected vulnerability (no independent security testing)</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Unassessed</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Potentially severe</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Data residency outside the practice's preferred jurisdiction (EU rather than UK-only)</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Certain (current state)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Minimal / policy</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Loss of a mobile device (if staff use personal devices)</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b/>
                <w:bCs/>
                <w:i/>
                <w:iCs/>
                <w:color w:val="96631A"/>
                <w:sz w:val="19"/>
                <w:szCs w:val="19"/>
              </w:rPr>
              <w:t xml:space="preserve">To be completed</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staff activity records are used beyond security and audit (for example to judge individuals), or staff are not told they exist</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the activity report is visible to more people than intended (Practice Manager role can read it by default)</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Moderate</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 member of staff types patient-identifying detail into the Orb or a staff message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the AI chooses the wrong lookup, or rewords an answer misleadingly</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Moderate</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 to 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 significant event report names a patient or a colleague in free text, or is seen by people who shouldn't</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personal data sent to Azure is retained or processed outside the intended region</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 (region stated as UK South, retention not yet confirmed)</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 significant event names someone, or is seen by the wrong people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report form says never to use names and to refer to roles; patients are identified by EMIS number (or initials and date of birth) only. Only the reporter, the investigation lead, people named on it, reviewers asked to look at it, the Significant events team and partners (oversight) can open an event: this is enforced by the database rules and tested. Reviewers see only their own review. Notes and the history cannot be edited or deleted. Notifications carry the reference and title only.</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 to Medium (free text can still contain a name, so practice guidance should say not to)</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 team message carries patient details, or goes to the wrong people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Messages with numbers, dates, email addresses or phone numbers are refused, and the card shows the team and the words before anything is sent. A team means everyone with that role in Primovex, never an outside address. Sending is limited per person per hour and day. Each send is recorded (who, which team, how many people), not the message text.</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 malicious question tries to make the AI reveal or do something else (prompt injection)</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 (it can only name a lookup; it cannot confirm an action)</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password-only sign-in. A stolen password gives access (two-step sign-in is built but not yet switched on)</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the Firebase project allowed anyone with the public key to register an account (found 2 October 2026); such an account could read data not protected by a specific permission. Registration has since been switched off (reported by the administrator, 7 October 2026)</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 (while open)</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Significant</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 now closed</w:t>
            </w:r>
          </w:p>
        </w:tc>
      </w:tr>
      <w:tr>
        <w:trPr>
          <w:cantSplit/>
        </w:trPr>
        <w:tc>
          <w:tcPr>
            <w:tcW w:type="dxa" w:w="49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staff list and organisation chart printed and left unsecured</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Possible</w:t>
            </w:r>
          </w:p>
        </w:tc>
        <w:tc>
          <w:tcPr>
            <w:tcW w:type="dxa" w:w="17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Moderate</w:t>
            </w:r>
          </w:p>
        </w:tc>
        <w:tc>
          <w:tcPr>
            <w:tcW w:type="dxa" w:w="13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r>
    </w:tbl>
    <w:p>
      <w:pPr>
        <w:spacing w:after="120"/>
      </w:pPr>
    </w:p>
    <w:p>
      <w:pPr>
        <w:pStyle w:val="Heading1"/>
        <w:keepNext/>
        <w:spacing w:after="120" w:before="360"/>
      </w:pPr>
      <w:r>
        <w:rPr>
          <w:rFonts w:ascii="Consolas" w:cs="Consolas" w:eastAsia="Consolas" w:hAnsi="Consolas"/>
          <w:b/>
          <w:bCs/>
          <w:color w:val="8A1F2D"/>
          <w:sz w:val="18"/>
          <w:szCs w:val="18"/>
        </w:rPr>
        <w:t xml:space="preserve">STEP 6</w:t>
      </w:r>
      <w:r>
        <w:t xml:space="preserve">  </w:t>
      </w:r>
      <w:r>
        <w:t xml:space="preserve">Measures to reduce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338"/>
        <w:gridCol w:w="1100"/>
        <w:gridCol w:w="700"/>
      </w:tblGrid>
      <w:tr>
        <w:trPr>
          <w:tblHeader/>
        </w:trPr>
        <w:tc>
          <w:tcPr>
            <w:tcW w:type="dxa" w:w="25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Risk</w:t>
            </w:r>
          </w:p>
        </w:tc>
        <w:tc>
          <w:tcPr>
            <w:tcW w:type="dxa" w:w="53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Mitigation</w:t>
            </w:r>
          </w:p>
        </w:tc>
        <w:tc>
          <w:tcPr>
            <w:tcW w:type="dxa" w:w="11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Residual</w:t>
            </w:r>
          </w:p>
        </w:tc>
        <w:tc>
          <w:tcPr>
            <w:tcW w:type="dxa" w:w="7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Approved</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Unauthorised access via a compromised or over-privileged account</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Capability-based access control at both application and database (Firestore rules) layers; named permissions rather than broad roles; accounts created only by an administrator through a server function; an administrator can reset a person's two-step sign-in and issue a fresh sign-in link; 160 automated attack checks of the real database rules (run against a local test copy, all passing).</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Unattended session</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15-minute inactivity lock on desktop and mobile requiring a PIN (or biometric on mobile); automatic 12-hour session expiry.</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Accidental data loss</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Database delete protection and 7-day point-in-time recovery were stated as enabled in version 0.1. </w:t>
            </w:r>
            <w:r>
              <w:rPr>
                <w:b/>
                <w:bCs/>
                <w:i/>
                <w:iCs/>
                <w:color w:val="96631A"/>
                <w:sz w:val="19"/>
                <w:szCs w:val="19"/>
              </w:rPr>
              <w:t xml:space="preserve">To be completed</w:t>
            </w:r>
            <w:r>
              <w:rPr>
                <w:sz w:val="19"/>
                <w:szCs w:val="19"/>
              </w:rPr>
              <w:t xml:space="preserve">: confirm in the Firebase console before sign-off.</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Undocumented external data sharing</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Data-sharing map produced for review against WASPI protocols.</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 pending protocols</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Re-identification</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Identifier minimisation; capability-gated reads; immutable audit logging of access-relevant changes.</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Undetected vulnerabilities</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Internal, AI-assisted review and attack testing completed (see the security review document). Recommend an independent penetration test; not yet arranged.</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Data residency</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DPO/IG to confirm whether UK-only hosting is required; if so this needs a data migration. </w:t>
            </w:r>
            <w:r>
              <w:rPr>
                <w:b/>
                <w:bCs/>
                <w:i/>
                <w:iCs/>
                <w:color w:val="96631A"/>
                <w:sz w:val="19"/>
                <w:szCs w:val="19"/>
              </w:rPr>
              <w:t xml:space="preserve">To be completed</w:t>
            </w:r>
            <w:r>
              <w:rPr>
                <w:sz w:val="19"/>
                <w:szCs w:val="19"/>
              </w:rPr>
              <w:t xml:space="preserve">.</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misuse of activity records, or staff not told</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Purpose stated and limited (security and audit). Only areas and times are recorded, never content. Records cannot be edited. Deleted after 12 months. Reviewer actions on the report are themselves audited (viewing and exporting are logged). Staff privacy notice and acceptable-use guidance must be updated and staff told before use (not yet done).</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 once staff are informed</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activity report visible too widely</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Restricted to System Admin and roles given audit-read. The practice can remove audit-read from the Practice Manager role or create a narrower role if it wants fewer people to see it (a decision for the DPO).</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patient detail typed into the Orb or a message</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Numbers, dates, emails and phone numbers are removed from anything sent to the AI. The AI never receives concern or SAR data. The AI is off by default. Staff guidance not to type patient names into the Orb or messages (not yet written). Nothing typed into the Orb is stored by Primovex beyond the normal audit entry, which excludes the words.</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 to Medium</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AI error</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AI only chooses among approved lookups the person is already permitted to use, validated on the server. A reworded answer is discarded if it changes a figure or loses a warning, and the original is used. The answer states when the language assistant was involved. Both switches are separate and can be turned off immediately.</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Azure retention or region</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Region: UK South (stated by the Practice Manager, 7 October 2026; verify in the Azure portal). </w:t>
            </w:r>
            <w:r>
              <w:rPr>
                <w:b/>
                <w:bCs/>
                <w:i/>
                <w:iCs/>
                <w:color w:val="96631A"/>
                <w:sz w:val="19"/>
                <w:szCs w:val="19"/>
              </w:rPr>
              <w:t xml:space="preserve">To be completed</w:t>
            </w:r>
            <w:r>
              <w:rPr>
                <w:sz w:val="19"/>
                <w:szCs w:val="19"/>
              </w:rPr>
              <w:t xml:space="preserve">: confirm retention of prompts for abuse monitoring, no training on data, and the data processing terms. Do not turn either AI switch on until confirmed. The administrator is asked to confirm this when turning each on.</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Depends on confirmation</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prompt injection</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question is treated as untrusted. The AI can only name a lookup from a list restricted to that person's permissions; the server rejects anything else. A lookup can only prepare an action; a person has to confirm it.</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password-only sign-in</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Two-step sign-in with an authenticator app is built and tested but not yet enabled for the practice (it needs a one-off project setting). Recommend enabling for all staff.</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Medium until enabled</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open account registration</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The app never registers accounts from the sign-in screen; accounts are created by a server function. Registration was switched off in the Firebase console (Authentication settings) on 7 October 2026, as reported by the administrator; the DPO may wish to see the setting for themselves.</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r>
        <w:trPr>
          <w:cantSplit/>
        </w:trPr>
        <w:tc>
          <w:tcPr>
            <w:tcW w:type="dxa" w:w="2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NEW: printed staff lists</w:t>
            </w:r>
          </w:p>
        </w:tc>
        <w:tc>
          <w:tcPr>
            <w:tcW w:type="dxa" w:w="53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Covered by the practice's paper-record policy; printed copies carry no more than names, roles and reporting lines.</w:t>
            </w:r>
          </w:p>
        </w:tc>
        <w:tc>
          <w:tcPr>
            <w:tcW w:type="dxa" w:w="11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Low</w:t>
            </w:r>
          </w:p>
        </w:tc>
        <w:tc>
          <w:tcPr>
            <w:tcW w:type="dxa" w:w="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w:t>
            </w:r>
          </w:p>
        </w:tc>
      </w:tr>
    </w:tbl>
    <w:p>
      <w:pPr>
        <w:spacing w:after="120"/>
      </w:pPr>
    </w:p>
    <w:p>
      <w:pPr>
        <w:pStyle w:val="Heading1"/>
        <w:keepNext/>
        <w:spacing w:after="120" w:before="360"/>
      </w:pPr>
      <w:r>
        <w:rPr>
          <w:rFonts w:ascii="Consolas" w:cs="Consolas" w:eastAsia="Consolas" w:hAnsi="Consolas"/>
          <w:b/>
          <w:bCs/>
          <w:color w:val="8A1F2D"/>
          <w:sz w:val="18"/>
          <w:szCs w:val="18"/>
        </w:rPr>
        <w:t xml:space="preserve">STEP 7</w:t>
      </w:r>
      <w:r>
        <w:t xml:space="preserve">  </w:t>
      </w:r>
      <w:r>
        <w:t xml:space="preserve">Sign-off and record of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38"/>
        <w:gridCol w:w="1500"/>
        <w:gridCol w:w="2500"/>
      </w:tblGrid>
      <w:tr>
        <w:trPr>
          <w:tblHeader/>
        </w:trPr>
        <w:tc>
          <w:tcPr>
            <w:tcW w:type="dxa" w:w="30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26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Name / position</w:t>
            </w:r>
          </w:p>
        </w:tc>
        <w:tc>
          <w:tcPr>
            <w:tcW w:type="dxa" w:w="15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Date</w:t>
            </w:r>
          </w:p>
        </w:tc>
        <w:tc>
          <w:tcPr>
            <w:tcW w:type="dxa" w:w="25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30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Measures approved by</w:t>
            </w:r>
          </w:p>
        </w:tc>
        <w:tc>
          <w:tcPr>
            <w:tcW w:type="dxa" w:w="26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2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r>
      <w:tr>
        <w:trPr>
          <w:cantSplit/>
        </w:trPr>
        <w:tc>
          <w:tcPr>
            <w:tcW w:type="dxa" w:w="30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Residual risks approved by</w:t>
            </w:r>
          </w:p>
        </w:tc>
        <w:tc>
          <w:tcPr>
            <w:tcW w:type="dxa" w:w="26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2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r>
      <w:tr>
        <w:trPr>
          <w:cantSplit/>
        </w:trPr>
        <w:tc>
          <w:tcPr>
            <w:tcW w:type="dxa" w:w="30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DPO / Caldicott advice provided</w:t>
            </w:r>
          </w:p>
        </w:tc>
        <w:tc>
          <w:tcPr>
            <w:tcW w:type="dxa" w:w="26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2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r>
      <w:tr>
        <w:trPr>
          <w:cantSplit/>
        </w:trPr>
        <w:tc>
          <w:tcPr>
            <w:tcW w:type="dxa" w:w="30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DPO advice accepted / overruled by</w:t>
            </w:r>
          </w:p>
        </w:tc>
        <w:tc>
          <w:tcPr>
            <w:tcW w:type="dxa" w:w="26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2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r>
      <w:tr>
        <w:trPr>
          <w:cantSplit/>
        </w:trPr>
        <w:tc>
          <w:tcPr>
            <w:tcW w:type="dxa" w:w="30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This DPIA kept under review by</w:t>
            </w:r>
          </w:p>
        </w:tc>
        <w:tc>
          <w:tcPr>
            <w:tcW w:type="dxa" w:w="26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2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r>
      <w:tr>
        <w:trPr>
          <w:cantSplit/>
        </w:trPr>
        <w:tc>
          <w:tcPr>
            <w:tcW w:type="dxa" w:w="30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Review due</w:t>
            </w:r>
          </w:p>
        </w:tc>
        <w:tc>
          <w:tcPr>
            <w:tcW w:type="dxa" w:w="26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c>
          <w:tcPr>
            <w:tcW w:type="dxa" w:w="2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p>
        </w:tc>
      </w:tr>
    </w:tbl>
    <w:p>
      <w:pPr>
        <w:spacing w:after="120"/>
      </w:pPr>
    </w:p>
    <w:p>
      <w:pPr>
        <w:pStyle w:val="Heading1"/>
        <w:keepNext/>
        <w:spacing w:after="120" w:before="360"/>
      </w:pPr>
      <w:r>
        <w:rPr>
          <w:rFonts w:ascii="Consolas" w:cs="Consolas" w:eastAsia="Consolas" w:hAnsi="Consolas"/>
          <w:b/>
          <w:bCs/>
          <w:color w:val="8A1F2D"/>
          <w:sz w:val="18"/>
          <w:szCs w:val="18"/>
        </w:rPr>
        <w:t xml:space="preserve">APPENDIX A</w:t>
      </w:r>
      <w:r>
        <w:t xml:space="preserve">  </w:t>
      </w:r>
      <w:r>
        <w:t xml:space="preserve">Technical security controls as at 7 October 2026</w:t>
      </w:r>
    </w:p>
    <w:p>
      <w:pPr>
        <w:spacing w:after="100" w:line="276"/>
      </w:pPr>
      <w:r>
        <w:t xml:space="preserve">Status is stated plainly. "Tested" means automated tests pass in a local test copy; it is not independent certification.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Control</w:t>
            </w:r>
          </w:p>
        </w:tc>
        <w:tc>
          <w:tcPr>
            <w:tcW w:type="dxa" w:w="54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Status</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Role and capability-based access at application and database layers</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In place. 160 automated checks of the real database and storage rules pass (a person without the permission is refused; one practice cannot read another's).</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Idle lock (15 minutes) and 12-hour session limit</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In place on desktop and mobile.</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Governed audit ledger (server-written, hash-chained, append-only)</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In place. Records sign-ins, sign-outs, administration changes, stock purges and the Orb AI actions.</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Sign-in and activity records</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In place (Step 2C); automatically deleted after 12 months.</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Account creation by server function; no browser-created accounts</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In place. Bulk staff import creates accounts without sending any email.</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Two-step sign-in (authenticator app)</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Built and tested; not yet switched on. Needs a one-off project setting and a trial with a real account.</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Orb AI language assistant</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Built and tested; both switches off until an administrator turns them on.</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Retention clean-up (activity records 12 months; Orb counters 60 days)</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In place, runs weekly.</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Firestore delete protection and point-in-time recovery</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Stated in version 0.1; to be confirmed in the console.</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Open account registration in Firebase Authentication</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Closed on 7 October 2026 (reported by the administrator). Was open when found on 2 October.</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Independent penetration test</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Not yet arranged.</w:t>
            </w:r>
          </w:p>
        </w:tc>
      </w:tr>
      <w:tr>
        <w:trPr>
          <w:cantSplit/>
        </w:trPr>
        <w:tc>
          <w:tcPr>
            <w:tcW w:type="dxa" w:w="42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Failed sign-in attempts</w:t>
            </w:r>
          </w:p>
        </w:tc>
        <w:tc>
          <w:tcPr>
            <w:tcW w:type="dxa" w:w="54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Held by Firebase Authentication, not visible in Primovex.</w:t>
            </w:r>
          </w:p>
        </w:tc>
      </w:tr>
    </w:tbl>
    <w:p>
      <w:pPr>
        <w:spacing w:after="120"/>
      </w:pPr>
    </w:p>
    <w:p>
      <w:pPr>
        <w:pStyle w:val="Heading1"/>
        <w:keepNext/>
        <w:spacing w:after="120" w:before="360"/>
      </w:pPr>
      <w:r>
        <w:rPr>
          <w:rFonts w:ascii="Consolas" w:cs="Consolas" w:eastAsia="Consolas" w:hAnsi="Consolas"/>
          <w:b/>
          <w:bCs/>
          <w:color w:val="8A1F2D"/>
          <w:sz w:val="18"/>
          <w:szCs w:val="18"/>
        </w:rPr>
        <w:t xml:space="preserve">APPENDIX B</w:t>
      </w:r>
      <w:r>
        <w:t xml:space="preserve">  </w:t>
      </w:r>
      <w:r>
        <w:t xml:space="preserve">New data 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700"/>
        <w:gridCol w:w="2538"/>
        <w:gridCol w:w="1700"/>
        <w:gridCol w:w="1400"/>
      </w:tblGrid>
      <w:tr>
        <w:trPr>
          <w:tblHeader/>
        </w:trPr>
        <w:tc>
          <w:tcPr>
            <w:tcW w:type="dxa" w:w="8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Flow</w:t>
            </w:r>
          </w:p>
        </w:tc>
        <w:tc>
          <w:tcPr>
            <w:tcW w:type="dxa" w:w="15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From</w:t>
            </w:r>
          </w:p>
        </w:tc>
        <w:tc>
          <w:tcPr>
            <w:tcW w:type="dxa" w:w="17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To</w:t>
            </w:r>
          </w:p>
        </w:tc>
        <w:tc>
          <w:tcPr>
            <w:tcW w:type="dxa" w:w="25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Data</w:t>
            </w:r>
          </w:p>
        </w:tc>
        <w:tc>
          <w:tcPr>
            <w:tcW w:type="dxa" w:w="17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Purpose</w:t>
            </w:r>
          </w:p>
        </w:tc>
        <w:tc>
          <w:tcPr>
            <w:tcW w:type="dxa" w:w="14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Hosting</w:t>
            </w:r>
          </w:p>
        </w:tc>
      </w:tr>
      <w:tr>
        <w:trPr>
          <w:cantSplit/>
        </w:trPr>
        <w:tc>
          <w:tcPr>
            <w:tcW w:type="dxa" w:w="8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N1</w:t>
            </w: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Staff device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Firebase (Firestore, Cloud Functions)</w:t>
            </w:r>
          </w:p>
        </w:tc>
        <w:tc>
          <w:tcPr>
            <w:tcW w:type="dxa" w:w="25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Staff name, work email, role, department, reporting line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Accounts, access, organisation chart</w:t>
            </w:r>
          </w:p>
        </w:tc>
        <w:tc>
          <w:tcPr>
            <w:tcW w:type="dxa" w:w="14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EU (eur3) / UK (europe-west2)</w:t>
            </w:r>
          </w:p>
        </w:tc>
      </w:tr>
      <w:tr>
        <w:trPr>
          <w:cantSplit/>
        </w:trPr>
        <w:tc>
          <w:tcPr>
            <w:tcW w:type="dxa" w:w="8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N2</w:t>
            </w: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Staff device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Firebase Cloud Function, then Firestore</w:t>
            </w:r>
          </w:p>
        </w:tc>
        <w:tc>
          <w:tcPr>
            <w:tcW w:type="dxa" w:w="25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Sign-in session: identity and role from the account, device type and random ID, areas used and active time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Security and audit review</w:t>
            </w:r>
          </w:p>
        </w:tc>
        <w:tc>
          <w:tcPr>
            <w:tcW w:type="dxa" w:w="14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EU / UK; deleted after 12 months</w:t>
            </w:r>
          </w:p>
        </w:tc>
      </w:tr>
      <w:tr>
        <w:trPr>
          <w:cantSplit/>
        </w:trPr>
        <w:tc>
          <w:tcPr>
            <w:tcW w:type="dxa" w:w="8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N3</w:t>
            </w: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Primovex server (London)</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Microsoft Azure OpenAI</w:t>
            </w:r>
          </w:p>
        </w:tc>
        <w:tc>
          <w:tcPr>
            <w:tcW w:type="dxa" w:w="25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Switch 1: scrubbed question and list of permitted lookups. Switch 2: scrubbed question and answer facts (item, room, fridge, space names; counts)</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Understanding a question; wording an answer</w:t>
            </w:r>
          </w:p>
        </w:tc>
        <w:tc>
          <w:tcPr>
            <w:tcW w:type="dxa" w:w="14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b/>
                <w:bCs/>
                <w:i/>
                <w:iCs/>
                <w:color w:val="96631A"/>
                <w:sz w:val="19"/>
                <w:szCs w:val="19"/>
              </w:rPr>
              <w:t xml:space="preserve">To be completed</w:t>
            </w:r>
            <w:r>
              <w:rPr>
                <w:sz w:val="19"/>
                <w:szCs w:val="19"/>
              </w:rPr>
              <w:t xml:space="preserve"> (region)</w:t>
            </w:r>
          </w:p>
        </w:tc>
      </w:tr>
      <w:tr>
        <w:trPr>
          <w:cantSplit/>
        </w:trPr>
        <w:tc>
          <w:tcPr>
            <w:tcW w:type="dxa" w:w="8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N4</w:t>
            </w:r>
          </w:p>
        </w:tc>
        <w:tc>
          <w:tcPr>
            <w:tcW w:type="dxa" w:w="15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Staff device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Firebase Cloud Function, then recipient's inbox</w:t>
            </w:r>
          </w:p>
        </w:tc>
        <w:tc>
          <w:tcPr>
            <w:tcW w:type="dxa" w:w="25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Message text (up to 300 characters), sender, kit or case reference</w:t>
            </w:r>
          </w:p>
        </w:tc>
        <w:tc>
          <w:tcPr>
            <w:tcW w:type="dxa" w:w="17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Staff-to-staff messages and reminders</w:t>
            </w:r>
          </w:p>
        </w:tc>
        <w:tc>
          <w:tcPr>
            <w:tcW w:type="dxa" w:w="14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EU / UK</w:t>
            </w:r>
          </w:p>
        </w:tc>
      </w:tr>
    </w:tbl>
    <w:p>
      <w:pPr>
        <w:spacing w:after="120"/>
      </w:pPr>
    </w:p>
    <w:p>
      <w:pPr>
        <w:pStyle w:val="Heading1"/>
        <w:keepNext/>
        <w:spacing w:after="120" w:before="360"/>
      </w:pPr>
      <w:r>
        <w:rPr>
          <w:rFonts w:ascii="Consolas" w:cs="Consolas" w:eastAsia="Consolas" w:hAnsi="Consolas"/>
          <w:b/>
          <w:bCs/>
          <w:color w:val="8A1F2D"/>
          <w:sz w:val="18"/>
          <w:szCs w:val="18"/>
        </w:rPr>
        <w:t xml:space="preserve">APPENDIX C</w:t>
      </w:r>
      <w:r>
        <w:t xml:space="preserve">  </w:t>
      </w:r>
      <w:r>
        <w:t xml:space="preserve">Decisions and actions needed before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7138"/>
        <w:gridCol w:w="2000"/>
      </w:tblGrid>
      <w:tr>
        <w:trPr>
          <w:tblHeader/>
        </w:trPr>
        <w:tc>
          <w:tcPr>
            <w:tcW w:type="dxa" w:w="5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w:t>
            </w:r>
          </w:p>
        </w:tc>
        <w:tc>
          <w:tcPr>
            <w:tcW w:type="dxa" w:w="7138"/>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Decision or action</w:t>
            </w:r>
          </w:p>
        </w:tc>
        <w:tc>
          <w:tcPr>
            <w:tcW w:type="dxa" w:w="2000"/>
            <w:tcBorders>
              <w:top w:val="single" w:color="BFB9A8" w:sz="4"/>
              <w:left w:val="single" w:color="BFB9A8" w:sz="4"/>
              <w:bottom w:val="single" w:color="BFB9A8" w:sz="4"/>
              <w:right w:val="single" w:color="BFB9A8" w:sz="4"/>
            </w:tcBorders>
            <w:shd w:fill="20211D" w:color="auto" w:val="clear"/>
            <w:tcMar>
              <w:top w:type="dxa" w:w="70"/>
              <w:left w:type="dxa" w:w="110"/>
              <w:bottom w:type="dxa" w:w="70"/>
              <w:right w:type="dxa" w:w="110"/>
            </w:tcMar>
          </w:tcPr>
          <w:p>
            <w:pPr>
              <w:spacing w:after="40"/>
            </w:pPr>
            <w:r>
              <w:rPr>
                <w:b/>
                <w:bCs/>
                <w:color w:val="FFFFFF"/>
                <w:sz w:val="19"/>
                <w:szCs w:val="19"/>
              </w:rPr>
              <w:t xml:space="preserve">Who</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1</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Complete the ownership fields: controller, DPO / Caldicott Guardian, review date; list volumes.</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Practice / DPO</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2</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Decide the lawful basis for staff activity records, record any assessment, and confirm the purpose limit (security and audit, not performance management).</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DPO</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3</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Approve the retention periods: activity records 12 months, Orb request counters 60 days. Confirm the audit ledger's retention.</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DPO / Records Manager</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4</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Decide who may see the activity report. By default System Admin and Practice Manager can; narrow it if wanted.</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DPO / Partners</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5</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Verify in the Azure portal that the resource is in UK South (stated 7 October 2026), and confirm Microsoft's retention of prompts for abuse monitoring, no training on data, and the data processing terms. Decide whether to approve each AI switch separately.</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DPO / IT</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6</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Update the staff privacy notice and acceptable-use guidance (activity records; the Orb's AI; do not type patient names into the Orb or messages) and tell staff before use.</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Practice Manager / DPO</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7</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Consult staff (and any representative body) about the activity records and AI features.</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Practice Manager</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8</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Confirm the Google Cloud (Firebase) data processing addendum is on file, and Firestore delete protection and point-in-time recovery are on.</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DPO / IT</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9</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Confirm whether staff use personal devices (BYOD) and the approved policy.</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Partners</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10</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Done 7 October 2026 (reported by the administrator): open account registration switched off and the four test accounts created on 2 October 2026 (fictitious example.com addresses, no personal data) deleted. Record the episode in the practice's incident log if its policy requires.</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Administrator</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11</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Enable two-step sign-in and trial it, then decide whether to require it for all staff.</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Administrator / DPO</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12</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Arrange an independent penetration test.</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Partners</w:t>
            </w:r>
          </w:p>
        </w:tc>
      </w:tr>
      <w:tr>
        <w:trPr>
          <w:cantSplit/>
        </w:trPr>
        <w:tc>
          <w:tcPr>
            <w:tcW w:type="dxa" w:w="500"/>
            <w:tcBorders>
              <w:top w:val="single" w:color="BFB9A8" w:sz="4"/>
              <w:left w:val="single" w:color="BFB9A8" w:sz="4"/>
              <w:bottom w:val="single" w:color="BFB9A8" w:sz="4"/>
              <w:right w:val="single" w:color="BFB9A8" w:sz="4"/>
            </w:tcBorders>
            <w:shd w:fill="F6F5F1" w:color="auto" w:val="clear"/>
            <w:tcMar>
              <w:top w:type="dxa" w:w="70"/>
              <w:left w:type="dxa" w:w="110"/>
              <w:bottom w:type="dxa" w:w="70"/>
              <w:right w:type="dxa" w:w="110"/>
            </w:tcMar>
          </w:tcPr>
          <w:p>
            <w:pPr>
              <w:spacing w:after="40"/>
            </w:pPr>
            <w:r>
              <w:rPr>
                <w:sz w:val="19"/>
                <w:szCs w:val="19"/>
              </w:rPr>
              <w:t xml:space="preserve">13</w:t>
            </w:r>
          </w:p>
        </w:tc>
        <w:tc>
          <w:tcPr>
            <w:tcW w:type="dxa" w:w="7138"/>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Confirm WASPI coverage for each external data flow in the data-sharing map.</w:t>
            </w:r>
          </w:p>
        </w:tc>
        <w:tc>
          <w:tcPr>
            <w:tcW w:type="dxa" w:w="2000"/>
            <w:tcBorders>
              <w:top w:val="single" w:color="BFB9A8" w:sz="4"/>
              <w:left w:val="single" w:color="BFB9A8" w:sz="4"/>
              <w:bottom w:val="single" w:color="BFB9A8" w:sz="4"/>
              <w:right w:val="single" w:color="BFB9A8" w:sz="4"/>
            </w:tcBorders>
            <w:tcMar>
              <w:top w:type="dxa" w:w="70"/>
              <w:left w:type="dxa" w:w="110"/>
              <w:bottom w:type="dxa" w:w="70"/>
              <w:right w:type="dxa" w:w="110"/>
            </w:tcMar>
          </w:tcPr>
          <w:p>
            <w:pPr>
              <w:spacing w:after="40"/>
            </w:pPr>
            <w:r>
              <w:rPr>
                <w:sz w:val="19"/>
                <w:szCs w:val="19"/>
              </w:rPr>
              <w:t xml:space="preserve">DPO / BCUHB IG</w:t>
            </w:r>
          </w:p>
        </w:tc>
      </w:tr>
    </w:tbl>
    <w:p>
      <w:pPr>
        <w:spacing w:after="120"/>
      </w:pPr>
    </w:p>
    <w:p>
      <w:pPr>
        <w:pBdr>
          <w:top w:val="single" w:color="BFB9A8" w:sz="4" w:space="6"/>
        </w:pBdr>
        <w:spacing w:before="300"/>
      </w:pPr>
      <w:r>
        <w:rPr>
          <w:i/>
          <w:iCs/>
          <w:color w:val="5B5B52"/>
          <w:sz w:val="17"/>
          <w:szCs w:val="17"/>
        </w:rPr>
        <w:t xml:space="preserve">Compiled from direct technical review of Primovex's configuration, database rules and code. This document is a working draft intended to give the Data Protection Officer / Caldicott Guardian a complete technical starting point. It is not an approved DPIA until Step 7 is completed and signed.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7D"/>
        <w:sz w:val="16"/>
        <w:szCs w:val="16"/>
      </w:rPr>
      <w:t xml:space="preserve">Primovex DPIA draft v0.2 · page </w:t>
    </w:r>
    <w:r>
      <w:rPr>
        <w:color w:val="8A8A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mbria" w:cs="Cambria" w:eastAsia="Cambria" w:hAnsi="Cambria"/>
      <w:b/>
      <w:bCs/>
      <w:color w:val="20211D"/>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20211D"/>
      <w:sz w:val="26"/>
      <w:szCs w:val="26"/>
    </w:rPr>
  </w:style>
  <w:style w:type="paragraph" w:styleId="Heading3">
    <w:name w:val="Heading 3"/>
    <w:basedOn w:val="Normal"/>
    <w:next w:val="Normal"/>
    <w:qFormat/>
    <w:pPr>
      <w:spacing w:after="60" w:before="180"/>
      <w:outlineLvl w:val="2"/>
    </w:pPr>
    <w:rPr>
      <w:rFonts w:ascii="Cambria" w:cs="Cambria" w:eastAsia="Cambria" w:hAnsi="Cambria"/>
      <w:b/>
      <w:bCs/>
      <w:color w:val="5B5B52"/>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Primovex DPIA Draft</dc:title>
  <dc:creator>Un-named</dc:creator>
  <cp:lastModifiedBy>Un-named</cp:lastModifiedBy>
  <cp:revision>1</cp:revision>
  <dcterms:created xsi:type="dcterms:W3CDTF">2026-10-14T11:09:51.785Z</dcterms:created>
  <dcterms:modified xsi:type="dcterms:W3CDTF">2026-10-14T11:09:51.785Z</dcterms:modified>
</cp:coreProperties>
</file>

<file path=docProps/custom.xml><?xml version="1.0" encoding="utf-8"?>
<Properties xmlns="http://schemas.openxmlformats.org/officeDocument/2006/custom-properties" xmlns:vt="http://schemas.openxmlformats.org/officeDocument/2006/docPropsVTypes"/>
</file>