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onsolas" w:cs="Consolas" w:eastAsia="Consolas" w:hAnsi="Consolas"/>
          <w:b/>
          <w:bCs/>
          <w:color w:val="8A1F2D"/>
          <w:sz w:val="18"/>
          <w:szCs w:val="18"/>
        </w:rPr>
        <w:t xml:space="preserve">PRIMOVEX · DATA PROTECTION IMPACT ASSESSMENT</w:t>
      </w:r>
    </w:p>
    <w:p>
      <w:pPr>
        <w:spacing w:after="60"/>
      </w:pPr>
      <w:r>
        <w:rPr>
          <w:rFonts w:ascii="Cambria" w:cs="Cambria" w:eastAsia="Cambria" w:hAnsi="Cambria"/>
          <w:b/>
          <w:bCs/>
          <w:sz w:val="52"/>
          <w:szCs w:val="52"/>
        </w:rPr>
        <w:t xml:space="preserve">Primovex DPIA Draft</w:t>
      </w:r>
    </w:p>
    <w:p>
      <w:pPr>
        <w:spacing w:after="240"/>
      </w:pPr>
      <w:r>
        <w:rPr>
          <w:color w:val="5B5B52"/>
          <w:sz w:val="22"/>
          <w:szCs w:val="22"/>
        </w:rPr>
        <w:t xml:space="preserve">Data Protection Impact Assessment · Version 0.2 · Draft for review</w:t>
      </w:r>
    </w:p>
    <w:p>
      <w:pPr>
        <w:spacing w:after="100" w:line="276"/>
      </w:pPr>
      <w:r>
        <w:t xml:space="preserve">Prepared as a working draft to support formal DPIA sign-off under Article 35 UK GDPR. Compiled from direct technical review of the system. Fields marked "</w:t>
      </w:r>
      <w:r>
        <w:rPr>
          <w:b/>
          <w:bCs/>
          <w:i/>
          <w:iCs/>
          <w:color w:val="96631A"/>
        </w:rPr>
        <w:t xml:space="preserve">To be completed</w:t>
      </w:r>
      <w:r>
        <w:t xml:space="preserve">" need input from the practice's Data Protection Officer / Caldicott Guardian and are not something a technical review can supply.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Controller</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[Practice name]</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DPO / Caldicott Guardian</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[Name]</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System</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Primovex v0.15.41</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This version</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0.2, 7 October 2026 (replaces 0.1 of 18 September 2026)</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Reviewed by</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[Name(s)]</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Status</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Draft, not yet approved</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A1F2D" w:sz="12"/>
              <w:left w:val="single" w:color="BFB9A8" w:sz="4"/>
              <w:bottom w:val="single" w:color="BFB9A8" w:sz="4"/>
              <w:right w:val="single" w:color="BFB9A8" w:sz="4"/>
            </w:tcBorders>
            <w:shd w:fill="F6E9E9" w:color="auto" w:val="clear"/>
            <w:tcMar>
              <w:top w:type="dxa" w:w="120"/>
              <w:left w:type="dxa" w:w="160"/>
              <w:bottom w:type="dxa" w:w="120"/>
              <w:right w:type="dxa" w:w="160"/>
            </w:tcMar>
          </w:tcPr>
          <w:p>
            <w:pPr>
              <w:spacing w:after="80"/>
            </w:pPr>
            <w:r>
              <w:rPr>
                <w:b/>
                <w:bCs/>
                <w:sz w:val="24"/>
                <w:szCs w:val="24"/>
              </w:rPr>
              <w:t xml:space="preserve">What has changed since version 0.1</w:t>
            </w:r>
          </w:p>
          <w:p>
            <w:pPr>
              <w:spacing w:after="60" w:line="276"/>
            </w:pPr>
            <w:r>
              <w:rPr>
                <w:sz w:val="20"/>
                <w:szCs w:val="20"/>
              </w:rPr>
              <w:t xml:space="preserve">Version 0.1 covered Concerns, SARs, Inventory and Temperature. Primovex has since gained four things that process personal data in new ways. Each is described below and has its own risks and measures.</w:t>
            </w:r>
          </w:p>
          <w:p>
            <w:pPr>
              <w:spacing w:after="60" w:line="276"/>
            </w:pPr>
            <w:r>
              <w:rPr>
                <w:sz w:val="20"/>
                <w:szCs w:val="20"/>
              </w:rPr>
              <w:t xml:space="preserve">1. Staff accounts, departments and the organisation chart (Step 2B).</w:t>
            </w:r>
          </w:p>
          <w:p>
            <w:pPr>
              <w:spacing w:after="60" w:line="276"/>
            </w:pPr>
            <w:r>
              <w:rPr>
                <w:sz w:val="20"/>
                <w:szCs w:val="20"/>
              </w:rPr>
              <w:t xml:space="preserve">2. Sign-in and activity records: a report of when staff signed in, which areas of the app they used and for how long (Step 2C). This is a form of monitoring of staff.</w:t>
            </w:r>
          </w:p>
          <w:p>
            <w:pPr>
              <w:spacing w:after="60" w:line="276"/>
            </w:pPr>
            <w:r>
              <w:rPr>
                <w:sz w:val="20"/>
                <w:szCs w:val="20"/>
              </w:rPr>
              <w:t xml:space="preserve">3. The Orb's AI language assistant, which uses Microsoft Azure OpenAI (Step 2D). Two separate switches, both off by default.</w:t>
            </w:r>
          </w:p>
          <w:p>
            <w:pPr>
              <w:spacing w:after="60" w:line="276"/>
            </w:pPr>
            <w:r>
              <w:rPr>
                <w:sz w:val="20"/>
                <w:szCs w:val="20"/>
              </w:rPr>
              <w:t xml:space="preserve">4. Staff-to-staff messages and reminders sent through the app (Step 2E).</w:t>
            </w:r>
          </w:p>
          <w:p>
            <w:pPr>
              <w:spacing w:after="60" w:line="276"/>
            </w:pPr>
            <w:r>
              <w:rPr>
                <w:sz w:val="20"/>
                <w:szCs w:val="20"/>
              </w:rPr>
              <w:t xml:space="preserve">Technical safeguards have also grown (Appendix A). Several decisions are needed from the DPO before sign-off (Appendix C).</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STEP 1</w:t>
      </w:r>
      <w:r>
        <w:t xml:space="preserve">  </w:t>
      </w:r>
      <w:r>
        <w:t xml:space="preserve">Identify the need for a DPIA</w:t>
      </w:r>
    </w:p>
    <w:p>
      <w:pPr>
        <w:spacing w:after="100" w:line="276"/>
      </w:pPr>
      <w:r>
        <w:t xml:space="preserve">Primovex is a practice management system used for stock and medicines inventory, cold-chain temperature monitoring, compliance recording, staff administration and governance case management, specifically Patient Safety Concerns (following the NHS Wales "Listening to People" pathway) and Subject Access Requests. It is introduced alongside the practice's core national systems (EMIS, Docman), not as a replacement for them.</w:t>
      </w:r>
    </w:p>
    <w:p>
      <w:pPr>
        <w:spacing w:after="100" w:line="276"/>
      </w:pPr>
      <w:r>
        <w:t xml:space="preserve">At least one ICO screening trigger applies, which is enough on its own to require a DPIA. Four now apply:</w:t>
      </w:r>
    </w:p>
    <w:p>
      <w:pPr>
        <w:pStyle w:val="ListParagraph"/>
        <w:numPr>
          <w:ilvl w:val="0"/>
          <w:numId w:val="2"/>
        </w:numPr>
        <w:spacing w:after="60" w:line="276"/>
      </w:pPr>
      <w:r>
        <w:t xml:space="preserve">Special category data. Concerns and SARs relate to patient care and, even pseudonymised, fall within Article 9 health data by association.</w:t>
      </w:r>
    </w:p>
    <w:p>
      <w:pPr>
        <w:pStyle w:val="ListParagraph"/>
        <w:numPr>
          <w:ilvl w:val="0"/>
          <w:numId w:val="2"/>
        </w:numPr>
        <w:spacing w:after="60" w:line="276"/>
      </w:pPr>
      <w:r>
        <w:t xml:space="preserve">New technology. Governance case management in a dedicated tool, and now the use of generative AI (Azure OpenAI) inside the app, have not previously been assessed.</w:t>
      </w:r>
    </w:p>
    <w:p>
      <w:pPr>
        <w:pStyle w:val="ListParagraph"/>
        <w:numPr>
          <w:ilvl w:val="0"/>
          <w:numId w:val="2"/>
        </w:numPr>
        <w:spacing w:after="60" w:line="276"/>
      </w:pPr>
      <w:r>
        <w:t xml:space="preserve">Systematic monitoring of employees. The sign-in and activity records (Step 2C) record, for every member of staff, when they used the system and which areas they used.</w:t>
      </w:r>
    </w:p>
    <w:p>
      <w:pPr>
        <w:pStyle w:val="ListParagraph"/>
        <w:numPr>
          <w:ilvl w:val="0"/>
          <w:numId w:val="2"/>
        </w:numPr>
        <w:spacing w:after="60" w:line="276"/>
      </w:pPr>
      <w:r>
        <w:t xml:space="preserve">Systematic, practice-wide processing, used continuously by multiple staff roles.</w:t>
      </w:r>
    </w:p>
    <w:p>
      <w:pPr>
        <w:spacing w:after="100" w:line="276"/>
      </w:pPr>
      <w:r>
        <w:t xml:space="preserve">Conclusion: a DPIA is required before Primovex's governance modules are relied upon as the practice's primary record, and before the AI features or the staff activity report are used with real staff.</w:t>
      </w:r>
    </w:p>
    <w:p>
      <w:pPr>
        <w:pStyle w:val="Heading1"/>
        <w:keepNext/>
        <w:spacing w:after="120" w:before="360"/>
      </w:pPr>
      <w:r>
        <w:rPr>
          <w:rFonts w:ascii="Consolas" w:cs="Consolas" w:eastAsia="Consolas" w:hAnsi="Consolas"/>
          <w:b/>
          <w:bCs/>
          <w:color w:val="8A1F2D"/>
          <w:sz w:val="18"/>
          <w:szCs w:val="18"/>
        </w:rPr>
        <w:t xml:space="preserve">STEP 2</w:t>
      </w:r>
      <w:r>
        <w:t xml:space="preserve">  </w:t>
      </w:r>
      <w:r>
        <w:t xml:space="preserve">Describe the processing</w:t>
      </w:r>
    </w:p>
    <w:p>
      <w:pPr>
        <w:pStyle w:val="Heading2"/>
        <w:keepNext/>
        <w:spacing w:after="100" w:before="240"/>
      </w:pPr>
      <w:r>
        <w:t xml:space="preserve">A. Governance and operations (unchanged from version 0.1)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Item</w:t>
            </w:r>
          </w:p>
        </w:tc>
        <w:tc>
          <w:tcPr>
            <w:tcW w:type="dxa" w:w="7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Detail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Collection</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Manually entered by practice staff on desktop or mobile at the point a concern, SAR, stock movement or temperature reading occurs.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Use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Case tracking against statutory and pathway deadlines, correspondence logging, stock and cold-chain safety monitoring, staff-facing reporting (including annual category and outcome breakdowns for external returns such as the Welsh Risk Pool).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Storage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Google Cloud Firestore, EU multi-region (eur3). Application server logic (Cloud Functions) runs in europe-west2 (London, UK).</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Deletion</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Governance timeline, correspondence and stock-movement entries are immutable audit records. Stock items are archived (recoverable); permanently deleting a stock item needs a specific permission that only a System Admin or a role granted it holds. Concern cases and user accounts can be hard-deleted, restricted to System Admin, behind a confirmation step.</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Sharing</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Concerns correspondence is logged with named external bodies as part of the normal governance process. See the data-sharing map for the full list and current protocol status.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Special category data</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Yes, by association: patient identifiers (EMIS number, or initials plus date of birth) and, for the person raising a concern when that differs from the patient, initials and a contact method. No patient name, address or full date-of-birth-plus-name combination is stored; that detail stays in the paper file, cross-referenced only by the Primovex case reference.</w:t>
            </w:r>
          </w:p>
        </w:tc>
      </w:tr>
    </w:tbl>
    <w:p>
      <w:pPr>
        <w:spacing w:after="120"/>
      </w:pPr>
    </w:p>
    <w:p>
      <w:pPr>
        <w:pStyle w:val="Heading2"/>
        <w:keepNext/>
        <w:spacing w:after="100" w:before="240"/>
      </w:pPr>
      <w:r>
        <w:t xml:space="preserve">B. Staff accounts, departments and the organisation chart (new)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Item</w:t>
            </w:r>
          </w:p>
        </w:tc>
        <w:tc>
          <w:tcPr>
            <w:tcW w:type="dxa" w:w="7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Detail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For each member of staff: name, work email address, job role, department, who they report to, and whether they are highlighted on the chart. Their sign-in password is held by Google (Firebase Authentication), never by Primovex.</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Source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Entered by a System Admin, singly or by importing a spreadsheet of the practice's staff list (approximately 60 people). The import shows exactly what it will do before it does anything and does not send any email; each person is later given a sign-in link by the administrator.</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Use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Giving each person the access their job needs (role-based permissions), assigning tasks and SARs, showing the organisation chart, and printing the chart or a staff list by department.</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Who can see it</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staff list and chart are visible only to System Admins and roles granted user-management permission. Other staff see only a name and role where they must choose a colleague (for example to assign a SAR).</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Desktop orb and tray (Windows)</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On the Windows desktop app, closing the window can hide Primovex to the system tray instead of quitting, and a small always-on-top Pulse orb shows on the desktop while the window is minimised or hidden. The orb shows only a score and a one-line status such as a count of items. While Primovex runs in the tray the person stays signed in; the 15-minute lock and 12-hour session limit still apply. Each person can switch both off in the Pulse settings, and signing out quits as normal. Shared computers should be locked or signed out at the end of a shift under the practice's usual policy.</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Paper copies</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organisation chart and staff list can be printed. Printed copies are outside the system's controls and should be handled under the practice's normal paper-record policy.</w:t>
            </w:r>
          </w:p>
        </w:tc>
      </w:tr>
    </w:tbl>
    <w:p>
      <w:pPr>
        <w:spacing w:after="120"/>
      </w:pPr>
    </w:p>
    <w:p>
      <w:pPr>
        <w:pStyle w:val="Heading2"/>
        <w:keepNext/>
        <w:spacing w:after="100" w:before="240"/>
      </w:pPr>
      <w:r>
        <w:t xml:space="preserve">C. Sign-in and activity records (new): monitoring of staff</w:t>
      </w:r>
    </w:p>
    <w:p>
      <w:pPr>
        <w:spacing w:after="100" w:line="276"/>
      </w:pPr>
      <w:r>
        <w:t xml:space="preserve">Primovex records when people sign in and which parts of the app they use, so that an administrator can review access for security and audit purposes.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Item</w:t>
            </w:r>
          </w:p>
        </w:tc>
        <w:tc>
          <w:tcPr>
            <w:tcW w:type="dxa" w:w="7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Detail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is recorded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Name and role (taken from the person's own account, not from what the app says), when a session started and ended or was last active, the type of device (for example Windows or Android) and a random device identifier created by the app, how the session ended (signed out, timed out, closed), and, per area of the app, how many times it was visited and how long the person was actively there. An "area" is only the top one or two levels of the address, for example Inventory or Governance / SARs.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is not recorded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Anything typed or searched, which record was opened, any patient or concern detail, the content of any screen. Time spent is only counted while the window is visible and the person has used the screen or keyboard within the last five minutes.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How it is protected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times and the person's identity are set by the server, not the device, and the server will not credit more active time than has actually passed, so a person cannot alter their own record. Nobody can edit or delete the records from the app; only the server writes them.</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Who can see it</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System Admins, and any role that has been given the audit-read permission. Built-in roles with audit-read: System Admin and Practice Manager. The practice can create or change roles to narrow this.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Flags shown to the reviewer</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Sign-ins outside 06:00 to 22:00, sessions over 12 hours, and being signed in on two devices at the same time. These are prompts to look, not findings.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Related audit entries</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governed audit ledger records password sign-ins and sign-outs, and an entry when the app is opened with an existing sign-in. (Recorded without any app content.)</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Retention</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Sign-in and activity records are deleted automatically after 12 months by a weekly clean-up. The audit ledger is append-only and follows its own retention schedule. The 12-month period is a proposal for the DPO to approve.</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Not captured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Failed sign-in attempts happen before anyone is identified and are held by Firebase Authentication, not Primovex.</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Purpose limit (proposed)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Security, audit and the investigation of suspected misuse. Not to be used for routine performance management. The controller must decide and record this.</w:t>
            </w:r>
          </w:p>
        </w:tc>
      </w:tr>
    </w:tbl>
    <w:p>
      <w:pPr>
        <w:spacing w:after="120"/>
      </w:pPr>
    </w:p>
    <w:p>
      <w:pPr>
        <w:pStyle w:val="Heading2"/>
        <w:keepNext/>
        <w:spacing w:after="100" w:before="240"/>
      </w:pPr>
      <w:r>
        <w:t xml:space="preserve">D. The Orb's AI language assistant (new)</w:t>
      </w:r>
    </w:p>
    <w:p>
      <w:pPr>
        <w:spacing w:after="100" w:line="276"/>
      </w:pPr>
      <w:r>
        <w:t xml:space="preserve">The Orb is Primovex's assistant. It answers questions about the practice (stock, fridges, cleaning, alerts and similar) from approved, read-only lookups. Until recently it understood only fixed phrases. Two optional AI features now use Microsoft Azure OpenAI. Both are switched off until a System Admin turns each one on, with a confirmation that the region and this DPIA have been checked. They are independent.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869"/>
        <w:gridCol w:w="3869"/>
      </w:tblGrid>
      <w:tr>
        <w:trPr>
          <w:tblHeader/>
        </w:trPr>
        <w:tc>
          <w:tcPr>
            <w:tcW w:type="dxa" w:w="19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p>
        </w:tc>
        <w:tc>
          <w:tcPr>
            <w:tcW w:type="dxa" w:w="3869"/>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Switch 1: understanding questions</w:t>
            </w:r>
          </w:p>
        </w:tc>
        <w:tc>
          <w:tcPr>
            <w:tcW w:type="dxa" w:w="3869"/>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Switch 2: wording the answers</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it does</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When the Orb's own rules do not recognise a question, the AI chooses which approved lookup fits and fills in one or two parameters (for example the item name).</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Puts an answer the Orb has already found into friendlier, clearer words.</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is sent to Azure</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question as typed, after numbers, dates, email addresses and phone numbers are removed, and the list of lookups that person is permitted to use.</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question (scrubbed the same way) and the answer's facts: item, room, fridge and space names, counts and dates (scrubbed the same way).</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Never sent</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Any stock, temperature, staff, patient or governance data. The user's name, email or role. Concern and SAR lookups are never offered.</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Answers from tasks, notes, maintenance, the timeline, who cleaned or saw something, the team list, concerns or SARs. Those lookups are excluded.</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comes back</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 lookup name and parameters, checked on the server against that person's permissions and the lookup's rules. Anything else is discarded.</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Reworded text. If it contains any number not in the facts, drops a warning (out of range, expired, out of stock), or contains a link, it is discarded and the original wording is used.</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Limits</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30 per person per hour; 1,500 per day for the practice.</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30 per person per hour; 1,000 per day for the practice.</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If it fails</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Orb behaves as before and asks what the person meant.</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original answer is shown.</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Recorded in Primovex</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 audit entry per use: which lookup (or none) and timing. Never the question's words.</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 audit entry per use: which lookup and whether the wording was used. Never the text.</w:t>
            </w:r>
          </w:p>
        </w:tc>
      </w:tr>
    </w:tbl>
    <w:p>
      <w:pPr>
        <w:spacing w:after="120"/>
      </w:pPr>
    </w:p>
    <w:p>
      <w:pPr>
        <w:pStyle w:val="ListParagraph"/>
        <w:numPr>
          <w:ilvl w:val="0"/>
          <w:numId w:val="2"/>
        </w:numPr>
        <w:spacing w:after="60" w:line="276"/>
      </w:pPr>
      <w:r>
        <w:t xml:space="preserve">Processor: Microsoft (Azure OpenAI). The Azure resource is the one already used by ClinFlow. Its region, Microsoft's retention of prompts for abuse monitoring, and the data processing terms are </w:t>
      </w:r>
      <w:r>
        <w:rPr>
          <w:b/>
          <w:bCs/>
          <w:i/>
          <w:iCs/>
          <w:color w:val="96631A"/>
        </w:rPr>
        <w:t xml:space="preserve">To be completed</w:t>
      </w:r>
      <w:r>
        <w:t xml:space="preserve"> (see Appendix C). The calls are made from the practice's Firebase server in London; the key is never in the app.</w:t>
      </w:r>
    </w:p>
    <w:p>
      <w:pPr>
        <w:pStyle w:val="ListParagraph"/>
        <w:numPr>
          <w:ilvl w:val="0"/>
          <w:numId w:val="2"/>
        </w:numPr>
        <w:spacing w:after="60" w:line="276"/>
      </w:pPr>
      <w:r>
        <w:t xml:space="preserve">No decision about a person is made by the AI. It only chooses a read-only lookup or rewords an answer. All lookups are read-only; the Orb cannot change any record.</w:t>
      </w:r>
    </w:p>
    <w:p>
      <w:pPr>
        <w:pStyle w:val="ListParagraph"/>
        <w:numPr>
          <w:ilvl w:val="0"/>
          <w:numId w:val="2"/>
        </w:numPr>
        <w:spacing w:after="60" w:line="276"/>
      </w:pPr>
      <w:r>
        <w:t xml:space="preserve">Free-text risk: staff could type a patient's name into the Orb. Numbers and dates are removed automatically, but names cannot be reliably detected. Staff guidance is required (Step 6).</w:t>
      </w:r>
    </w:p>
    <w:p>
      <w:pPr>
        <w:pStyle w:val="Heading2"/>
        <w:keepNext/>
        <w:spacing w:after="100" w:before="240"/>
      </w:pPr>
      <w:r>
        <w:t xml:space="preserve">E. Staff messages, reminders and notifications (new)</w:t>
      </w:r>
    </w:p>
    <w:p>
      <w:pPr>
        <w:spacing w:after="100" w:line="276"/>
      </w:pPr>
      <w:r>
        <w:t xml:space="preserve">Primovex sends in-app notifications: SAR and concern deadline reminders to the assigned person and, when overdue, their manager; a message from one colleague to another about a kit item during a check (up to 300 characters, typed by the sender); and a reminder to oneself. Messages are visible only to the recipient. Free text typed into a message is a place where someone could put identifying detail; staff guidance covers this. How long notifications are kept in an inbox is </w:t>
      </w:r>
      <w:r>
        <w:rPr>
          <w:b/>
          <w:bCs/>
          <w:i/>
          <w:iCs/>
          <w:color w:val="96631A"/>
        </w:rPr>
        <w:t xml:space="preserve">To be completed</w:t>
      </w:r>
      <w:r>
        <w:t xml:space="preserve"> and needs a retention decision.</w:t>
      </w:r>
    </w:p>
    <w:p>
      <w:pPr>
        <w:pStyle w:val="Heading2"/>
        <w:keepNext/>
        <w:spacing w:after="100" w:before="240"/>
      </w:pPr>
      <w:r>
        <w:t xml:space="preserve">Scope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Dimension</w:t>
            </w:r>
          </w:p>
        </w:tc>
        <w:tc>
          <w:tcPr>
            <w:tcW w:type="dxa" w:w="7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Detail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subjects</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Patients (via pseudonymised reference only; Primovex has no patient-facing interface). Practice staff: direct personal data (name, email, role, department, reporting line, sign-in times and areas used).</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Volume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b/>
                <w:bCs/>
                <w:i/>
                <w:iCs/>
                <w:color w:val="96631A"/>
                <w:sz w:val="19"/>
                <w:szCs w:val="19"/>
              </w:rPr>
              <w:t xml:space="preserve">To be completed</w:t>
            </w:r>
            <w:r>
              <w:rPr>
                <w:sz w:val="19"/>
                <w:szCs w:val="19"/>
              </w:rPr>
              <w:t xml:space="preserve">. Approximate registered list size and typical annual Concerns/SARs volume; about 60 staff accounts.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Geographic scope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Single GP practice, North Wales (BCUHB area).</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Duration</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Ongoing operational use; no defined end date.</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Frequency</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Continuous, multiple staff, daily use.</w:t>
            </w:r>
          </w:p>
        </w:tc>
      </w:tr>
    </w:tbl>
    <w:p>
      <w:pPr>
        <w:spacing w:after="120"/>
      </w:pPr>
    </w:p>
    <w:p>
      <w:pPr>
        <w:pStyle w:val="Heading3"/>
        <w:keepNext/>
        <w:spacing w:after="60" w:before="180"/>
      </w:pPr>
      <w:r>
        <w:t xml:space="preserve">Context</w:t>
      </w:r>
    </w:p>
    <w:p>
      <w:pPr>
        <w:spacing w:after="100" w:line="276"/>
      </w:pPr>
      <w:r>
        <w:t xml:space="preserve">Patients do not interact with Primovex and have no visibility of it as a distinct system. Patients raising a Concern shortly after a clinical incident may be vulnerable at the point data is recorded, which is a reason for the deliberate identifier minimisation already built in. Staff are the people most affected by the new processing: they will be recorded using the system and may use the AI assistant. Their reasonable expectations, and what they have been told, matter (Step 4).</w:t>
      </w:r>
    </w:p>
    <w:p>
      <w:pPr>
        <w:pStyle w:val="Heading3"/>
        <w:keepNext/>
        <w:spacing w:after="60" w:before="180"/>
      </w:pPr>
      <w:r>
        <w:t xml:space="preserve">Purposes</w:t>
      </w:r>
    </w:p>
    <w:p>
      <w:pPr>
        <w:spacing w:after="100" w:line="276"/>
      </w:pPr>
      <w:r>
        <w:t xml:space="preserve">To record and manage patient safety concerns and SARs within their timescales with an auditable trail; to support cold-chain safety and accurate stock; to give staff the right access and help them find information quickly; and to keep a reviewable record of system access for security and audit. The intended effect on individuals is faster, more consistent handling of their concern or request, and a lower risk of a cold-chain failure.</w:t>
      </w:r>
    </w:p>
    <w:p>
      <w:pPr>
        <w:pStyle w:val="Heading1"/>
        <w:keepNext/>
        <w:spacing w:after="120" w:before="360"/>
      </w:pPr>
      <w:r>
        <w:rPr>
          <w:rFonts w:ascii="Consolas" w:cs="Consolas" w:eastAsia="Consolas" w:hAnsi="Consolas"/>
          <w:b/>
          <w:bCs/>
          <w:color w:val="8A1F2D"/>
          <w:sz w:val="18"/>
          <w:szCs w:val="18"/>
        </w:rPr>
        <w:t xml:space="preserve">STEP 3</w:t>
      </w:r>
      <w:r>
        <w:t xml:space="preserve">  </w:t>
      </w:r>
      <w:r>
        <w:t xml:space="preserve">Consultation process</w:t>
      </w:r>
    </w:p>
    <w:p>
      <w:pPr>
        <w:spacing w:after="100" w:line="276"/>
      </w:pPr>
      <w:r>
        <w:rPr>
          <w:b/>
          <w:bCs/>
          <w:i/>
          <w:iCs/>
          <w:color w:val="96631A"/>
        </w:rPr>
        <w:t xml:space="preserve">To be completed</w:t>
      </w:r>
      <w:r>
        <w:t xml:space="preserve"> by the practice. This draft was produced from technical review, not consultation. Before sign-off, consider recording:</w:t>
      </w:r>
    </w:p>
    <w:p>
      <w:pPr>
        <w:pStyle w:val="ListParagraph"/>
        <w:numPr>
          <w:ilvl w:val="0"/>
          <w:numId w:val="2"/>
        </w:numPr>
        <w:spacing w:after="60" w:line="276"/>
      </w:pPr>
      <w:r>
        <w:t xml:space="preserve">Consultation with the staff who will use Concerns/SARs day to day on whether the recorded fields and workflow match how they work.</w:t>
      </w:r>
    </w:p>
    <w:p>
      <w:pPr>
        <w:pStyle w:val="ListParagraph"/>
        <w:numPr>
          <w:ilvl w:val="0"/>
          <w:numId w:val="2"/>
        </w:numPr>
        <w:spacing w:after="60" w:line="276"/>
      </w:pPr>
      <w:r>
        <w:t xml:space="preserve">Consultation with staff (and any representative body) about the sign-in and activity records and the Orb's AI features, before they are relied upon. Monitoring staff without telling them, or without a clear purpose, is a significant risk.</w:t>
      </w:r>
    </w:p>
    <w:p>
      <w:pPr>
        <w:pStyle w:val="ListParagraph"/>
        <w:numPr>
          <w:ilvl w:val="0"/>
          <w:numId w:val="2"/>
        </w:numPr>
        <w:spacing w:after="60" w:line="276"/>
      </w:pPr>
      <w:r>
        <w:t xml:space="preserve">Consultation with BCUHB's Information Governance team on the data-sharing implications in the data-sharing map.</w:t>
      </w:r>
    </w:p>
    <w:p>
      <w:pPr>
        <w:pStyle w:val="ListParagraph"/>
        <w:numPr>
          <w:ilvl w:val="0"/>
          <w:numId w:val="2"/>
        </w:numPr>
        <w:spacing w:after="60" w:line="276"/>
      </w:pPr>
      <w:r>
        <w:t xml:space="preserve">Whether patient or PPG input is appropriate for a system patients do not interact with: a judgement for the DPO.</w:t>
      </w:r>
    </w:p>
    <w:p>
      <w:pPr>
        <w:pStyle w:val="Heading1"/>
        <w:keepNext/>
        <w:spacing w:after="120" w:before="360"/>
      </w:pPr>
      <w:r>
        <w:rPr>
          <w:rFonts w:ascii="Consolas" w:cs="Consolas" w:eastAsia="Consolas" w:hAnsi="Consolas"/>
          <w:b/>
          <w:bCs/>
          <w:color w:val="8A1F2D"/>
          <w:sz w:val="18"/>
          <w:szCs w:val="18"/>
        </w:rPr>
        <w:t xml:space="preserve">STEP 4</w:t>
      </w:r>
      <w:r>
        <w:t xml:space="preserve">  </w:t>
      </w:r>
      <w:r>
        <w:t xml:space="preserve">Assess necessity and proportionality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Measure</w:t>
            </w:r>
          </w:p>
        </w:tc>
        <w:tc>
          <w:tcPr>
            <w:tcW w:type="dxa" w:w="72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Position</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Lawful basis (patient data)</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Likely Article 6(1)(e) (public task) with Article 9(2)(h) (health or social care purposes), consistent with the practice's existing basis for clinical systems. </w:t>
            </w:r>
            <w:r>
              <w:rPr>
                <w:b/>
                <w:bCs/>
                <w:i/>
                <w:iCs/>
                <w:color w:val="96631A"/>
                <w:sz w:val="19"/>
                <w:szCs w:val="19"/>
              </w:rPr>
              <w:t xml:space="preserve">To be completed</w:t>
            </w:r>
            <w:r>
              <w:rPr>
                <w:sz w:val="19"/>
                <w:szCs w:val="19"/>
              </w:rPr>
              <w:t xml:space="preserve">: DPO to confirm this extends to Primovex's governance function.</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Lawful basis (staff accounts)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Employment and contract administration, and the practice's public task. </w:t>
            </w:r>
            <w:r>
              <w:rPr>
                <w:b/>
                <w:bCs/>
                <w:i/>
                <w:iCs/>
                <w:color w:val="96631A"/>
                <w:sz w:val="19"/>
                <w:szCs w:val="19"/>
              </w:rPr>
              <w:t xml:space="preserve">To be completed</w:t>
            </w:r>
            <w:r>
              <w:rPr>
                <w:sz w:val="19"/>
                <w:szCs w:val="19"/>
              </w:rPr>
              <w:t xml:space="preserve">.</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Lawful basis (activity records)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Needs a stated basis and, if legitimate interests, a recorded assessment of the interests, necessity and balance against staff rights. </w:t>
            </w:r>
            <w:r>
              <w:rPr>
                <w:b/>
                <w:bCs/>
                <w:i/>
                <w:iCs/>
                <w:color w:val="96631A"/>
                <w:sz w:val="19"/>
                <w:szCs w:val="19"/>
              </w:rPr>
              <w:t xml:space="preserve">To be completed</w:t>
            </w:r>
            <w:r>
              <w:rPr>
                <w:sz w:val="19"/>
                <w:szCs w:val="19"/>
              </w:rPr>
              <w:t xml:space="preserve"> by the DPO. Less intrusive alternatives considered: recording only sign-ins (rejected: gives no view of what an account was used for if misused); recording content or screens (rejected as excessive; the design deliberately records areas only).</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Lawful basis (AI processing)</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question text and answer facts are, by design, not personal data about patients, but may contain staff identifiers if someone types them. </w:t>
            </w:r>
            <w:r>
              <w:rPr>
                <w:b/>
                <w:bCs/>
                <w:i/>
                <w:iCs/>
                <w:color w:val="96631A"/>
                <w:sz w:val="19"/>
                <w:szCs w:val="19"/>
              </w:rPr>
              <w:t xml:space="preserve">To be completed</w:t>
            </w:r>
            <w:r>
              <w:rPr>
                <w:sz w:val="19"/>
                <w:szCs w:val="19"/>
              </w:rPr>
              <w:t xml:space="preserve">.</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minimisation</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Patient identity is EMIS number or initials plus date of birth, never a name. Activity records hold areas and times only. The AI is shown only a scrubbed question and, for the optional wording feature, the answer's facts from cleared lookups. It is never shown staff, patient or governance data.</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Function creep</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Access is capability-based, enforced at both the application and database layers. The activity report is read-only and cannot be edited by anyone. The proposed purpose limit for activity records is stated above. The AI cannot take actions.</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Transparency</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must be told about the activity records and the AI features in the staff privacy notice and acceptable-use guidance. </w:t>
            </w:r>
            <w:r>
              <w:rPr>
                <w:b/>
                <w:bCs/>
                <w:i/>
                <w:iCs/>
                <w:color w:val="96631A"/>
                <w:sz w:val="19"/>
                <w:szCs w:val="19"/>
              </w:rPr>
              <w:t xml:space="preserve">To be completed</w:t>
            </w:r>
            <w:r>
              <w:rPr>
                <w:sz w:val="19"/>
                <w:szCs w:val="19"/>
              </w:rPr>
              <w:t xml:space="preserve">: not yet done. The Orb itself labels an answer when the language assistant was involved.</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Individual rights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Patients exercise rights through the practice's existing EMIS and SAR process. Staff can request their own activity records through the practice's normal subject access route; records are deleted after 12 months.</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Automated decisions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None. The AI chooses a lookup or rewords text; no decision about any person is made or recommended by it.</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Processors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Google Cloud (Firebase) under its standard data processing addendum: </w:t>
            </w:r>
            <w:r>
              <w:rPr>
                <w:b/>
                <w:bCs/>
                <w:i/>
                <w:iCs/>
                <w:color w:val="96631A"/>
                <w:sz w:val="19"/>
                <w:szCs w:val="19"/>
              </w:rPr>
              <w:t xml:space="preserve">To be completed</w:t>
            </w:r>
            <w:r>
              <w:rPr>
                <w:sz w:val="19"/>
                <w:szCs w:val="19"/>
              </w:rPr>
              <w:t xml:space="preserve">, confirm it has been reviewed and is on file. Microsoft (Azure OpenAI) under Microsoft's data protection terms: </w:t>
            </w:r>
            <w:r>
              <w:rPr>
                <w:b/>
                <w:bCs/>
                <w:i/>
                <w:iCs/>
                <w:color w:val="96631A"/>
                <w:sz w:val="19"/>
                <w:szCs w:val="19"/>
              </w:rPr>
              <w:t xml:space="preserve">To be completed</w:t>
            </w:r>
            <w:r>
              <w:rPr>
                <w:sz w:val="19"/>
                <w:szCs w:val="19"/>
              </w:rPr>
              <w:t xml:space="preserve">, confirm the agreement, the resource's region and whether prompts are retained for abuse monitoring (Microsoft's default can be up to 30 days unless an exemption is approved), and that data is not used to train models.</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International transfers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Data resides in the EU (eur3); application logic runs in the UK (europe-west2). The Azure OpenAI region is </w:t>
            </w:r>
            <w:r>
              <w:rPr>
                <w:b/>
                <w:bCs/>
                <w:i/>
                <w:iCs/>
                <w:color w:val="96631A"/>
                <w:sz w:val="19"/>
                <w:szCs w:val="19"/>
              </w:rPr>
              <w:t xml:space="preserve">To be completed</w:t>
            </w:r>
            <w:r>
              <w:rPr>
                <w:sz w:val="19"/>
                <w:szCs w:val="19"/>
              </w:rPr>
              <w:t xml:space="preserve">; if it is outside the UK or EU a transfer assessment is needed.</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STEP 5</w:t>
      </w:r>
      <w:r>
        <w:t xml:space="preserve">  </w:t>
      </w:r>
      <w:r>
        <w:t xml:space="preserve">Identify and assess risks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00"/>
        <w:gridCol w:w="1700"/>
        <w:gridCol w:w="1738"/>
        <w:gridCol w:w="1300"/>
      </w:tblGrid>
      <w:tr>
        <w:trPr>
          <w:tblHeader/>
        </w:trPr>
        <w:tc>
          <w:tcPr>
            <w:tcW w:type="dxa" w:w="49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Risk</w:t>
            </w:r>
          </w:p>
        </w:tc>
        <w:tc>
          <w:tcPr>
            <w:tcW w:type="dxa" w:w="17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Likelihood</w:t>
            </w:r>
          </w:p>
        </w:tc>
        <w:tc>
          <w:tcPr>
            <w:tcW w:type="dxa" w:w="17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Severity</w:t>
            </w:r>
          </w:p>
        </w:tc>
        <w:tc>
          <w:tcPr>
            <w:tcW w:type="dxa" w:w="13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Overall</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Unauthorised access to Concerns/SARs data via a compromised or over-privileged account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Session left unattended on a shared device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Accidental data loss or corruption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Remote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shared with an external body without a documented sharing agreement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Probable (several such flows exist informally)</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High</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Re-identification of a patient by combining Primovex's pseudonymised reference with other information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Remote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Undetected vulnerability (no independent security testing)</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Unassessed</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Potentially severe</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residency outside the practice's preferred jurisdiction (EU rather than UK-only)</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Certain (current state)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Minimal / policy</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Loss of a mobile device (if staff use personal devices)</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b/>
                <w:bCs/>
                <w:i/>
                <w:iCs/>
                <w:color w:val="96631A"/>
                <w:sz w:val="19"/>
                <w:szCs w:val="19"/>
              </w:rPr>
              <w:t xml:space="preserve">To be completed</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staff activity records are used beyond security and audit (for example to judge individuals), or staff are not told they exist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the activity report is visible to more people than intended (Practice Manager role can read it by default)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Moderate</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 member of staff types patient-identifying detail into the Orb or a staff message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the AI chooses the wrong lookup, or rewords an answer misleadingly</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Moderate</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to 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personal data sent to Azure is retained or processed outside the intended region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Unassessed</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 malicious question tries to make the AI reveal or do something else (prompt injection)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(it can only name a read-only lookup)</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password-only sign-in. A stolen password gives access (two-step sign-in is built but not yet switched 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the Firebase project allowed anyone with the public key to register an account (found 2 October 2026); such an account could read data not protected by a specific permission. Registration has since been switched off (reported by the administrator, 7 October 2026)</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 (while open)</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now closed</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staff list and organisation chart printed and left unsecured</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Moderate</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STEP 6</w:t>
      </w:r>
      <w:r>
        <w:t xml:space="preserve">  </w:t>
      </w:r>
      <w:r>
        <w:t xml:space="preserve">Measures to reduce risk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5338"/>
        <w:gridCol w:w="1100"/>
        <w:gridCol w:w="700"/>
      </w:tblGrid>
      <w:tr>
        <w:trPr>
          <w:tblHeader/>
        </w:trPr>
        <w:tc>
          <w:tcPr>
            <w:tcW w:type="dxa" w:w="2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Risk</w:t>
            </w:r>
          </w:p>
        </w:tc>
        <w:tc>
          <w:tcPr>
            <w:tcW w:type="dxa" w:w="53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Mitigation</w:t>
            </w:r>
          </w:p>
        </w:tc>
        <w:tc>
          <w:tcPr>
            <w:tcW w:type="dxa" w:w="11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Residual</w:t>
            </w:r>
          </w:p>
        </w:tc>
        <w:tc>
          <w:tcPr>
            <w:tcW w:type="dxa" w:w="7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Approved</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Unauthorised access via a compromised or over-privileged account</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Capability-based access control at both application and database (Firestore rules) layers; named permissions rather than broad roles; accounts created only by an administrator through a server function; an administrator can reset a person's two-step sign-in and issue a fresh sign-in link; 160 automated attack checks of the real database rules (run against a local test copy, all passing).</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Unattended session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15-minute inactivity lock on desktop and mobile requiring a PIN (or biometric on mobile); automatic 12-hour session expiry.</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Accidental data loss</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Database delete protection and 7-day point-in-time recovery were stated as enabled in version 0.1. </w:t>
            </w:r>
            <w:r>
              <w:rPr>
                <w:b/>
                <w:bCs/>
                <w:i/>
                <w:iCs/>
                <w:color w:val="96631A"/>
                <w:sz w:val="19"/>
                <w:szCs w:val="19"/>
              </w:rPr>
              <w:t xml:space="preserve">To be completed</w:t>
            </w:r>
            <w:r>
              <w:rPr>
                <w:sz w:val="19"/>
                <w:szCs w:val="19"/>
              </w:rPr>
              <w:t xml:space="preserve">: confirm in the Firebase console before sign-off.</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Undocumented external data sharing</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Data-sharing map produced for review against WASPI protocols.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 pending protocols</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Re-identification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Identifier minimisation; capability-gated reads; immutable audit logging of access-relevant changes.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Undetected vulnerabilities</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Internal, AI-assisted review and attack testing completed (see the security review document). Recommend an independent penetration test; not yet arranged.</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residency</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DPO/IG to confirm whether UK-only hosting is required; if so this needs a data migration. </w:t>
            </w:r>
            <w:r>
              <w:rPr>
                <w:b/>
                <w:bCs/>
                <w:i/>
                <w:iCs/>
                <w:color w:val="96631A"/>
                <w:sz w:val="19"/>
                <w:szCs w:val="19"/>
              </w:rPr>
              <w:t xml:space="preserve">To be completed</w:t>
            </w:r>
            <w:r>
              <w:rPr>
                <w:sz w:val="19"/>
                <w:szCs w:val="19"/>
              </w:rPr>
              <w:t xml:space="preserve">.</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misuse of activity records, or staff not told</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Purpose stated and limited (security and audit). Only areas and times are recorded, never content. Records cannot be edited. Deleted after 12 months. Reviewer actions on the report are themselves audited (viewing and exporting are logged). Staff privacy notice and acceptable-use guidance must be updated and staff told before use (not yet done).</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once staff are informed</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activity report visible too widely</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Restricted to System Admin and roles given audit-read. The practice can remove audit-read from the Practice Manager role or create a narrower role if it wants fewer people to see it (a decision for the DPO).</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patient detail typed into the Orb or a message</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Numbers, dates, emails and phone numbers are removed from anything sent to the AI. The AI never receives concern or SAR data. The AI is off by default. Staff guidance not to type patient names into the Orb or messages (not yet written). Nothing typed into the Orb is stored by Primovex beyond the normal audit entry, which excludes the words.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to Medium</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AI error</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AI only chooses among read-only approved lookups the person is already permitted to use, validated on the server. A reworded answer is discarded if it changes a figure or loses a warning, and the original is used. The answer states when the language assistant was involved. Both switches are separate and can be turned off immediately.</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Azure retention or region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b/>
                <w:bCs/>
                <w:i/>
                <w:iCs/>
                <w:color w:val="96631A"/>
                <w:sz w:val="19"/>
                <w:szCs w:val="19"/>
              </w:rPr>
              <w:t xml:space="preserve">To be completed</w:t>
            </w:r>
            <w:r>
              <w:rPr>
                <w:sz w:val="19"/>
                <w:szCs w:val="19"/>
              </w:rPr>
              <w:t xml:space="preserve">: confirm the resource's region (UK South or EU), retention of prompts for abuse monitoring, no training on data, and the data processing terms. Do not turn either AI switch on until confirmed. The administrator is asked to confirm this when turning each on.</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Depends on confirmation</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prompt injection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question is treated as untrusted. The AI can only name a lookup from a list restricted to that person's permissions; the server rejects anything else. Lookups are read-only.</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password-only sign-in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Two-step sign-in with an authenticator app is built and tested but not yet enabled for the practice (it needs a one-off project setting). Recommend enabling for all staff.</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 until enabled</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open account registration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app never registers accounts from the sign-in screen; accounts are created by a server function. Registration was switched off in the Firebase console (Authentication settings) on 7 October 2026, as reported by the administrator; the DPO may wish to see the setting for themselves.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printed staff lists</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Covered by the practice's paper-record policy; printed copies carry no more than names, roles and reporting lines.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STEP 7</w:t>
      </w:r>
      <w:r>
        <w:t xml:space="preserve">  </w:t>
      </w:r>
      <w:r>
        <w:t xml:space="preserve">Sign-off and record of outcomes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638"/>
        <w:gridCol w:w="1500"/>
        <w:gridCol w:w="2500"/>
      </w:tblGrid>
      <w:tr>
        <w:trPr>
          <w:tblHeader/>
        </w:trPr>
        <w:tc>
          <w:tcPr>
            <w:tcW w:type="dxa" w:w="30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Item</w:t>
            </w:r>
          </w:p>
        </w:tc>
        <w:tc>
          <w:tcPr>
            <w:tcW w:type="dxa" w:w="26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Name / position</w:t>
            </w:r>
          </w:p>
        </w:tc>
        <w:tc>
          <w:tcPr>
            <w:tcW w:type="dxa" w:w="1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Date</w:t>
            </w:r>
          </w:p>
        </w:tc>
        <w:tc>
          <w:tcPr>
            <w:tcW w:type="dxa" w:w="2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Notes</w:t>
            </w: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Measures approved by</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Residual risks approved by</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DPO / Caldicott advice provided</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DPO advice accepted / overruled by</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This DPIA kept under review by</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Review due</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bl>
    <w:p>
      <w:pPr>
        <w:spacing w:after="120"/>
      </w:pPr>
    </w:p>
    <w:p>
      <w:pPr>
        <w:pStyle w:val="Heading1"/>
        <w:keepNext/>
        <w:spacing w:after="120" w:before="360"/>
      </w:pPr>
      <w:r>
        <w:rPr>
          <w:rFonts w:ascii="Consolas" w:cs="Consolas" w:eastAsia="Consolas" w:hAnsi="Consolas"/>
          <w:b/>
          <w:bCs/>
          <w:color w:val="8A1F2D"/>
          <w:sz w:val="18"/>
          <w:szCs w:val="18"/>
        </w:rPr>
        <w:t xml:space="preserve">APPENDIX A</w:t>
      </w:r>
      <w:r>
        <w:t xml:space="preserve">  </w:t>
      </w:r>
      <w:r>
        <w:t xml:space="preserve">Technical security controls as at 7 October 2026</w:t>
      </w:r>
    </w:p>
    <w:p>
      <w:pPr>
        <w:spacing w:after="100" w:line="276"/>
      </w:pPr>
      <w:r>
        <w:t xml:space="preserve">Status is stated plainly. "Tested" means automated tests pass in a local test copy; it is not independent certification.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Control</w:t>
            </w:r>
          </w:p>
        </w:tc>
        <w:tc>
          <w:tcPr>
            <w:tcW w:type="dxa" w:w="5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Status</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Role and capability-based access at application and database layers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160 automated checks of the real database and storage rules pass (a person without the permission is refused; one practice cannot read another's).</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Idle lock (15 minutes) and 12-hour session limit</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on desktop and mobile.</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Governed audit ledger (server-written, hash-chained, append-only)</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Records sign-ins, sign-outs, administration changes, stock purges and the Orb AI actions.</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Sign-in and activity records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(Step 2C); automatically deleted after 12 months.</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Account creation by server function; no browser-created accounts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Bulk staff import creates accounts without sending any email.</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Two-step sign-in (authenticator app)</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Built and tested; not yet switched on. Needs a one-off project setting and a trial with a real account.</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Orb AI language assistant</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Built and tested; both switches off until an administrator turns them on.</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Retention clean-up (activity records 12 months; Orb counters 60 days)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runs weekly.</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Firestore delete protection and point-in-time recovery</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Stated in version 0.1; to be confirmed in the console.</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Open account registration in Firebase Authentication</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Closed on 7 October 2026 (reported by the administrator). Was open when found on 2 October.</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Independent penetration test</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Not yet arranged.</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Failed sign-in attempts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Held by Firebase Authentication, not visible in Primovex.</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APPENDIX B</w:t>
      </w:r>
      <w:r>
        <w:t xml:space="preserve">  </w:t>
      </w:r>
      <w:r>
        <w:t xml:space="preserve">New data flows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1700"/>
        <w:gridCol w:w="2538"/>
        <w:gridCol w:w="1700"/>
        <w:gridCol w:w="1400"/>
      </w:tblGrid>
      <w:tr>
        <w:trPr>
          <w:tblHeader/>
        </w:trPr>
        <w:tc>
          <w:tcPr>
            <w:tcW w:type="dxa" w:w="8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Flow</w:t>
            </w:r>
          </w:p>
        </w:tc>
        <w:tc>
          <w:tcPr>
            <w:tcW w:type="dxa" w:w="1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From</w:t>
            </w:r>
          </w:p>
        </w:tc>
        <w:tc>
          <w:tcPr>
            <w:tcW w:type="dxa" w:w="17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To</w:t>
            </w:r>
          </w:p>
        </w:tc>
        <w:tc>
          <w:tcPr>
            <w:tcW w:type="dxa" w:w="25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Data</w:t>
            </w:r>
          </w:p>
        </w:tc>
        <w:tc>
          <w:tcPr>
            <w:tcW w:type="dxa" w:w="17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Purpose</w:t>
            </w:r>
          </w:p>
        </w:tc>
        <w:tc>
          <w:tcPr>
            <w:tcW w:type="dxa" w:w="14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Hosting</w:t>
            </w:r>
          </w:p>
        </w:tc>
      </w:tr>
      <w:tr>
        <w:trPr>
          <w:cantSplit/>
        </w:trPr>
        <w:tc>
          <w:tcPr>
            <w:tcW w:type="dxa" w:w="8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N1</w:t>
            </w: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device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Firebase (Firestore, Cloud Functions)</w:t>
            </w:r>
          </w:p>
        </w:tc>
        <w:tc>
          <w:tcPr>
            <w:tcW w:type="dxa" w:w="25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name, work email, role, department, reporting line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Accounts, access, organisation chart</w:t>
            </w:r>
          </w:p>
        </w:tc>
        <w:tc>
          <w:tcPr>
            <w:tcW w:type="dxa" w:w="14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EU (eur3) / UK (europe-west2)</w:t>
            </w:r>
          </w:p>
        </w:tc>
      </w:tr>
      <w:tr>
        <w:trPr>
          <w:cantSplit/>
        </w:trPr>
        <w:tc>
          <w:tcPr>
            <w:tcW w:type="dxa" w:w="8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N2</w:t>
            </w: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device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Firebase Cloud Function, then Firestore</w:t>
            </w:r>
          </w:p>
        </w:tc>
        <w:tc>
          <w:tcPr>
            <w:tcW w:type="dxa" w:w="25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Sign-in session: identity and role from the account, device type and random ID, areas used and active time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Security and audit review</w:t>
            </w:r>
          </w:p>
        </w:tc>
        <w:tc>
          <w:tcPr>
            <w:tcW w:type="dxa" w:w="14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EU / UK; deleted after 12 months</w:t>
            </w:r>
          </w:p>
        </w:tc>
      </w:tr>
      <w:tr>
        <w:trPr>
          <w:cantSplit/>
        </w:trPr>
        <w:tc>
          <w:tcPr>
            <w:tcW w:type="dxa" w:w="8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N3</w:t>
            </w: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Primovex server (London)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Microsoft Azure OpenAI</w:t>
            </w:r>
          </w:p>
        </w:tc>
        <w:tc>
          <w:tcPr>
            <w:tcW w:type="dxa" w:w="25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Switch 1: scrubbed question and list of permitted lookups. Switch 2: scrubbed question and answer facts (item, room, fridge, space names; counts)</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Understanding a question; wording an answer</w:t>
            </w:r>
          </w:p>
        </w:tc>
        <w:tc>
          <w:tcPr>
            <w:tcW w:type="dxa" w:w="14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b/>
                <w:bCs/>
                <w:i/>
                <w:iCs/>
                <w:color w:val="96631A"/>
                <w:sz w:val="19"/>
                <w:szCs w:val="19"/>
              </w:rPr>
              <w:t xml:space="preserve">To be completed</w:t>
            </w:r>
            <w:r>
              <w:rPr>
                <w:sz w:val="19"/>
                <w:szCs w:val="19"/>
              </w:rPr>
              <w:t xml:space="preserve"> (region)</w:t>
            </w:r>
          </w:p>
        </w:tc>
      </w:tr>
      <w:tr>
        <w:trPr>
          <w:cantSplit/>
        </w:trPr>
        <w:tc>
          <w:tcPr>
            <w:tcW w:type="dxa" w:w="8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N4</w:t>
            </w: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device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Firebase Cloud Function, then recipient's inbox</w:t>
            </w:r>
          </w:p>
        </w:tc>
        <w:tc>
          <w:tcPr>
            <w:tcW w:type="dxa" w:w="25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Message text (up to 300 characters), sender, kit or case reference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Staff-to-staff messages and reminders</w:t>
            </w:r>
          </w:p>
        </w:tc>
        <w:tc>
          <w:tcPr>
            <w:tcW w:type="dxa" w:w="14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EU / UK</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APPENDIX C</w:t>
      </w:r>
      <w:r>
        <w:t xml:space="preserve">  </w:t>
      </w:r>
      <w:r>
        <w:t xml:space="preserve">Decisions and actions needed before sign-off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7138"/>
        <w:gridCol w:w="2000"/>
      </w:tblGrid>
      <w:tr>
        <w:trPr>
          <w:tblHeader/>
        </w:trPr>
        <w:tc>
          <w:tcPr>
            <w:tcW w:type="dxa" w:w="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w:t>
            </w:r>
          </w:p>
        </w:tc>
        <w:tc>
          <w:tcPr>
            <w:tcW w:type="dxa" w:w="71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Decision or action</w:t>
            </w:r>
          </w:p>
        </w:tc>
        <w:tc>
          <w:tcPr>
            <w:tcW w:type="dxa" w:w="20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Who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Complete the ownership fields: controller, DPO / Caldicott Guardian, review date; list volumes.</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Practice / DPO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2</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Decide the lawful basis for staff activity records, record any assessment, and confirm the purpose limit (security and audit, not performance management).</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3</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Approve the retention periods: activity records 12 months, Orb request counters 60 days. Confirm the audit ledger's retention.</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Records Manager</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4</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Decide who may see the activity report. By default System Admin and Practice Manager can; narrow it if wanted.</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Partners</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5</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Confirm the Azure OpenAI resource's region (UK South or EU), Microsoft's retention of prompts for abuse monitoring, no training on data, and the data processing terms. Decide whether to approve each AI switch separately.</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IT</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6</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Update the staff privacy notice and acceptable-use guidance (activity records; the Orb's AI; do not type patient names into the Orb or messages) and tell staff before use.</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Practice Manager / DPO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7</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Consult staff (and any representative body) about the activity records and AI features.</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Practice Manager</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8</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Confirm the Google Cloud (Firebase) data processing addendum is on file, and Firestore delete protection and point-in-time recovery are on.</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IT</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9</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Confirm whether staff use personal devices (BYOD) and the approved policy.</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Partners</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10</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Done 7 October 2026 (reported by the administrator): open account registration switched off and the four test accounts created on 2 October 2026 (fictitious example.com addresses, no personal data) deleted. Record the episode in the practice's incident log if its policy requires.</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Administrator</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11</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Enable two-step sign-in and trial it, then decide whether to require it for all staff.</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Administrator / DPO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12</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Arrange an independent penetration test.</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Partners</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13</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Confirm WASPI coverage for each external data flow in the data-sharing map.</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BCUHB IG</w:t>
            </w:r>
          </w:p>
        </w:tc>
      </w:tr>
    </w:tbl>
    <w:p>
      <w:pPr>
        <w:spacing w:after="120"/>
      </w:pPr>
    </w:p>
    <w:p>
      <w:pPr>
        <w:pBdr>
          <w:top w:val="single" w:color="BFB9A8" w:sz="4" w:space="6"/>
        </w:pBdr>
        <w:spacing w:before="300"/>
      </w:pPr>
      <w:r>
        <w:rPr>
          <w:i/>
          <w:iCs/>
          <w:color w:val="5B5B52"/>
          <w:sz w:val="17"/>
          <w:szCs w:val="17"/>
        </w:rPr>
        <w:t xml:space="preserve">Compiled from direct technical review of Primovex's configuration, database rules and code. This document is a working draft intended to give the Data Protection Officer / Caldicott Guardian a complete technical starting point. It is not an approved DPIA until Step 7 is completed and signed.</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8A7D"/>
        <w:sz w:val="16"/>
        <w:szCs w:val="16"/>
      </w:rPr>
      <w:t xml:space="preserve">Primovex DPIA draft v0.2 · page </w:t>
    </w:r>
    <w:r>
      <w:rPr>
        <w:color w:val="8A8A7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mbria" w:cs="Cambria" w:eastAsia="Cambria" w:hAnsi="Cambria"/>
      <w:b/>
      <w:bCs/>
      <w:color w:val="20211D"/>
      <w:sz w:val="32"/>
      <w:szCs w:val="32"/>
    </w:rPr>
  </w:style>
  <w:style w:type="paragraph" w:styleId="Heading2">
    <w:name w:val="Heading 2"/>
    <w:basedOn w:val="Normal"/>
    <w:next w:val="Normal"/>
    <w:qFormat/>
    <w:pPr>
      <w:spacing w:after="100" w:before="240"/>
      <w:outlineLvl w:val="1"/>
    </w:pPr>
    <w:rPr>
      <w:rFonts w:ascii="Cambria" w:cs="Cambria" w:eastAsia="Cambria" w:hAnsi="Cambria"/>
      <w:b/>
      <w:bCs/>
      <w:color w:val="20211D"/>
      <w:sz w:val="26"/>
      <w:szCs w:val="26"/>
    </w:rPr>
  </w:style>
  <w:style w:type="paragraph" w:styleId="Heading3">
    <w:name w:val="Heading 3"/>
    <w:basedOn w:val="Normal"/>
    <w:next w:val="Normal"/>
    <w:qFormat/>
    <w:pPr>
      <w:spacing w:after="60" w:before="180"/>
      <w:outlineLvl w:val="2"/>
    </w:pPr>
    <w:rPr>
      <w:rFonts w:ascii="Cambria" w:cs="Cambria" w:eastAsia="Cambria" w:hAnsi="Cambria"/>
      <w:b/>
      <w:bCs/>
      <w:color w:val="5B5B52"/>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Primovex DPIA Draft</dc:title>
  <dc:creator>Un-named</dc:creator>
  <cp:lastModifiedBy>Un-named</cp:lastModifiedBy>
  <cp:revision>1</cp:revision>
  <dcterms:created xsi:type="dcterms:W3CDTF">2026-10-07T12:17:51.948Z</dcterms:created>
  <dcterms:modified xsi:type="dcterms:W3CDTF">2026-10-07T12:17:51.949Z</dcterms:modified>
</cp:coreProperties>
</file>

<file path=docProps/custom.xml><?xml version="1.0" encoding="utf-8"?>
<Properties xmlns="http://schemas.openxmlformats.org/officeDocument/2006/custom-properties" xmlns:vt="http://schemas.openxmlformats.org/officeDocument/2006/docPropsVTypes"/>
</file>