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onsolas" w:cs="Consolas" w:eastAsia="Consolas" w:hAnsi="Consolas"/>
          <w:b/>
          <w:bCs/>
          <w:color w:val="8A1F2D"/>
          <w:sz w:val="18"/>
          <w:szCs w:val="18"/>
        </w:rPr>
        <w:t xml:space="preserve">DATA-SHARING MAP · FOR WASPI / ISP REVIEW</w:t>
      </w:r>
    </w:p>
    <w:p>
      <w:pPr>
        <w:pStyle w:val="Heading1"/>
        <w:spacing w:after="200" w:before="100"/>
      </w:pPr>
      <w:r>
        <w:rPr>
          <w:b/>
          <w:bCs/>
          <w:color w:val="20211D"/>
          <w:sz w:val="34"/>
          <w:szCs w:val="34"/>
        </w:rPr>
        <w:t xml:space="preserve">Who Primovex data currently flows to</w:t>
      </w:r>
    </w:p>
    <w:p>
      <w:pPr>
        <w:spacing w:after="120"/>
      </w:pPr>
      <w:r>
        <w:rPr>
          <w:i w:val="false"/>
          <w:iCs w:val="false"/>
          <w:color w:val="5B5B52"/>
          <w:sz w:val="21"/>
          <w:szCs w:val="21"/>
        </w:rPr>
        <w:t xml:space="preserve">Every external organisation Primovex’s Concerns module logs correspondence with, compiled from the categories built into the system. This is not itself a Wales Accord on the Sharing of Personal Information (WASPI) Information Sharing Protocol (ISP) — it’s the input list for checking whether an existing BCUHB/health-board ISP already covers each flow, or whether a new one or a Data Disclosure Agreement is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A8A7D" w:sz="6"/>
              <w:left w:val="dashed" w:color="8A8A7D" w:sz="6"/>
              <w:bottom w:val="dashed" w:color="8A8A7D" w:sz="6"/>
              <w:right w:val="dashed" w:color="8A8A7D" w:sz="6"/>
            </w:tcBorders>
            <w:shd w:fill="F0EFE9" w:color="auto" w:val="clear"/>
            <w:tcMar>
              <w:top w:type="dxa" w:w="140"/>
              <w:left w:type="dxa" w:w="160"/>
              <w:bottom w:type="dxa" w:w="140"/>
              <w:right w:type="dxa" w:w="160"/>
            </w:tcMar>
          </w:tcPr>
          <w:p>
            <w:pPr>
              <w:spacing w:after="60"/>
            </w:pPr>
            <w:r>
              <w:rPr>
                <w:rFonts w:ascii="Consolas" w:cs="Consolas" w:eastAsia="Consolas" w:hAnsi="Consolas"/>
                <w:b/>
                <w:bCs/>
                <w:color w:val="20211D"/>
                <w:sz w:val="16"/>
                <w:szCs w:val="16"/>
              </w:rPr>
              <w:t xml:space="preserve">WHY THIS MATTERS NOW</w:t>
            </w:r>
          </w:p>
          <w:p>
            <w:r>
              <w:rPr>
                <w:i/>
                <w:iCs/>
                <w:color w:val="5B5B52"/>
                <w:sz w:val="20"/>
                <w:szCs w:val="20"/>
              </w:rPr>
              <w:t xml:space="preserve">Primovex has always let staff log that a concern was shared with, say, MDDUS or the police — but until this review, nothing had checked whether that sharing sits under an agreed protocol. That's exactly the gap WASPI exists to close. None of these flows are new because of Primovex; Primovex just makes them visible and auditable for the first time.</w:t>
            </w:r>
          </w:p>
        </w:tc>
      </w:tr>
    </w:tbl>
    <w:p>
      <w:pPr>
        <w:pStyle w:val="Heading2"/>
        <w:pBdr>
          <w:bottom w:val="single" w:color="DCD8CD" w:sz="4" w:space="6"/>
        </w:pBdr>
        <w:spacing w:after="140" w:before="320"/>
      </w:pPr>
      <w:r>
        <w:rPr>
          <w:b/>
          <w:bCs/>
          <w:color w:val="20211D"/>
          <w:sz w:val="24"/>
          <w:szCs w:val="24"/>
        </w:rPr>
        <w:t xml:space="preserve">External bodies</w:t>
      </w:r>
    </w:p>
    <w:p>
      <w:pPr>
        <w:spacing w:after="120"/>
      </w:pPr>
      <w:r>
        <w:rPr>
          <w:i w:val="false"/>
          <w:iCs w:val="false"/>
          <w:color w:val="5B5B52"/>
          <w:sz w:val="21"/>
          <w:szCs w:val="21"/>
        </w:rPr>
        <w:t xml:space="preserve">What's shared is consistently limited to: case reference, category, an anonymised summary, and correspondence dates/notes — never the patient's name.</w:t>
      </w:r>
    </w:p>
    <w:p>
      <w:pPr>
        <w:spacing w:after="40" w:before="260"/>
      </w:pPr>
      <w:r>
        <w:rPr>
          <w:b/>
          <w:bCs/>
          <w:color w:val="20211D"/>
          <w:sz w:val="24"/>
          <w:szCs w:val="24"/>
        </w:rPr>
        <w:t xml:space="preserve">Betsi Cadwaladr University Health Board (BCUHB)</w:t>
      </w:r>
      <w:r>
        <w:t xml:space="preserve">   </w:t>
      </w:r>
      <w:r>
        <w:rPr>
          <w:b/>
          <w:bCs/>
          <w:color w:val="96631A"/>
          <w:sz w:val="16"/>
          <w:szCs w:val="16"/>
        </w:rPr>
        <w:t xml:space="preserve">Protocol status: to confirm</w:t>
      </w:r>
    </w:p>
    <w:p>
      <w:pPr>
        <w:spacing w:after="120"/>
      </w:pPr>
      <w:r>
        <w:rPr>
          <w:i w:val="false"/>
          <w:iCs w:val="false"/>
          <w:color w:val="20211D"/>
          <w:sz w:val="21"/>
          <w:szCs w:val="21"/>
        </w:rPr>
        <w:t xml:space="preserve">The practice's health board. Concerns categorised as originating from or escalated to BCUHB, and any case requiring health-board-level oversight.</w:t>
      </w:r>
    </w:p>
    <w:p>
      <w:pPr>
        <w:spacing w:after="60"/>
      </w:pPr>
      <w:r>
        <w:rPr>
          <w:color w:val="8A8A7D"/>
          <w:sz w:val="18"/>
          <w:szCs w:val="18"/>
        </w:rPr>
        <w:t xml:space="preserve">Data shared: case reference, category, summary, dates  •  Direction: practice → health 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A8A7D" w:sz="6"/>
              <w:left w:val="dashed" w:color="8A8A7D" w:sz="6"/>
              <w:bottom w:val="dashed" w:color="8A8A7D" w:sz="6"/>
              <w:right w:val="dashed" w:color="8A8A7D" w:sz="6"/>
            </w:tcBorders>
            <w:shd w:fill="F0EFE9" w:color="auto" w:val="clear"/>
            <w:tcMar>
              <w:top w:type="dxa" w:w="140"/>
              <w:left w:type="dxa" w:w="160"/>
              <w:bottom w:type="dxa" w:w="140"/>
              <w:right w:type="dxa" w:w="160"/>
            </w:tcMar>
          </w:tcPr>
          <w:p>
            <w:pPr>
              <w:spacing w:after="60"/>
            </w:pPr>
            <w:r>
              <w:rPr>
                <w:rFonts w:ascii="Consolas" w:cs="Consolas" w:eastAsia="Consolas" w:hAnsi="Consolas"/>
                <w:b/>
                <w:bCs/>
                <w:color w:val="20211D"/>
                <w:sz w:val="16"/>
                <w:szCs w:val="16"/>
              </w:rPr>
              <w:t xml:space="preserve">TO CHECK</w:t>
            </w:r>
          </w:p>
          <w:p>
            <w:r>
              <w:rPr>
                <w:i/>
                <w:iCs/>
                <w:color w:val="5B5B52"/>
                <w:sz w:val="20"/>
                <w:szCs w:val="20"/>
              </w:rPr>
              <w:t xml:space="preserve">BCUHB likely already holds a general-purpose WASPI ISP covering GP-practice governance correspondence — confirm whether this falls under it before assuming a new one is needed.</w:t>
            </w:r>
          </w:p>
        </w:tc>
      </w:tr>
    </w:tbl>
    <w:p>
      <w:pPr>
        <w:spacing w:after="40" w:before="260"/>
      </w:pPr>
      <w:r>
        <w:rPr>
          <w:b/>
          <w:bCs/>
          <w:color w:val="20211D"/>
          <w:sz w:val="24"/>
          <w:szCs w:val="24"/>
        </w:rPr>
        <w:t xml:space="preserve">Llais</w:t>
      </w:r>
      <w:r>
        <w:t xml:space="preserve">   </w:t>
      </w:r>
      <w:r>
        <w:rPr>
          <w:b/>
          <w:bCs/>
          <w:color w:val="96631A"/>
          <w:sz w:val="16"/>
          <w:szCs w:val="16"/>
        </w:rPr>
        <w:t xml:space="preserve">Protocol status: to confirm</w:t>
      </w:r>
    </w:p>
    <w:p>
      <w:pPr>
        <w:spacing w:after="120"/>
      </w:pPr>
      <w:r>
        <w:rPr>
          <w:i w:val="false"/>
          <w:iCs w:val="false"/>
          <w:color w:val="20211D"/>
          <w:sz w:val="21"/>
          <w:szCs w:val="21"/>
        </w:rPr>
        <w:t xml:space="preserve">The Welsh patient-voice body (replaced PALS and the former Community Health Councils in 2023). Concerns raised through or referred to Llais.</w:t>
      </w:r>
    </w:p>
    <w:p>
      <w:pPr>
        <w:spacing w:after="60"/>
      </w:pPr>
      <w:r>
        <w:rPr>
          <w:color w:val="8A8A7D"/>
          <w:sz w:val="18"/>
          <w:szCs w:val="18"/>
        </w:rPr>
        <w:t xml:space="preserve">Data shared: case reference, category, summary  •  Direction: bidirectional</w:t>
      </w:r>
    </w:p>
    <w:p>
      <w:pPr>
        <w:spacing w:after="40" w:before="260"/>
      </w:pPr>
      <w:r>
        <w:rPr>
          <w:b/>
          <w:bCs/>
          <w:color w:val="20211D"/>
          <w:sz w:val="24"/>
          <w:szCs w:val="24"/>
        </w:rPr>
        <w:t xml:space="preserve">MDDUS</w:t>
      </w:r>
      <w:r>
        <w:t xml:space="preserve">   </w:t>
      </w:r>
      <w:r>
        <w:rPr>
          <w:b/>
          <w:bCs/>
          <w:color w:val="96631A"/>
          <w:sz w:val="16"/>
          <w:szCs w:val="16"/>
        </w:rPr>
        <w:t xml:space="preserve">Protocol status: to confirm</w:t>
      </w:r>
    </w:p>
    <w:p>
      <w:pPr>
        <w:spacing w:after="120"/>
      </w:pPr>
      <w:r>
        <w:rPr>
          <w:i w:val="false"/>
          <w:iCs w:val="false"/>
          <w:color w:val="20211D"/>
          <w:sz w:val="21"/>
          <w:szCs w:val="21"/>
        </w:rPr>
        <w:t xml:space="preserve">Medical defence / indemnity organisation. Concerns flagged as requiring MDDUS advice (clinical risk, potential claim exposure).</w:t>
      </w:r>
    </w:p>
    <w:p>
      <w:pPr>
        <w:spacing w:after="60"/>
      </w:pPr>
      <w:r>
        <w:rPr>
          <w:color w:val="8A8A7D"/>
          <w:sz w:val="18"/>
          <w:szCs w:val="18"/>
        </w:rPr>
        <w:t xml:space="preserve">Data shared: case reference, category, summary, clinical-review flag  •  Direction: practice → MDDUS</w:t>
      </w:r>
    </w:p>
    <w:p>
      <w:pPr>
        <w:spacing w:after="40" w:before="260"/>
      </w:pPr>
      <w:r>
        <w:rPr>
          <w:b/>
          <w:bCs/>
          <w:color w:val="20211D"/>
          <w:sz w:val="24"/>
          <w:szCs w:val="24"/>
        </w:rPr>
        <w:t xml:space="preserve">GMPI</w:t>
      </w:r>
      <w:r>
        <w:t xml:space="preserve">   </w:t>
      </w:r>
      <w:r>
        <w:rPr>
          <w:b/>
          <w:bCs/>
          <w:color w:val="96631A"/>
          <w:sz w:val="16"/>
          <w:szCs w:val="16"/>
        </w:rPr>
        <w:t xml:space="preserve">Protocol status: to confirm</w:t>
      </w:r>
    </w:p>
    <w:p>
      <w:pPr>
        <w:spacing w:after="120"/>
      </w:pPr>
      <w:r>
        <w:rPr>
          <w:i w:val="false"/>
          <w:iCs w:val="false"/>
          <w:color w:val="20211D"/>
          <w:sz w:val="21"/>
          <w:szCs w:val="21"/>
        </w:rPr>
        <w:t xml:space="preserve">Recorded alongside MDDUS as the indemnity/advice reference for concerns requiring external clinical-risk input. (Primovex stores this as a reference field tied to the same “MDDUS required” flag — confirm the exact organisation/scheme this refers to for your practice if it differs.)</w:t>
      </w:r>
    </w:p>
    <w:p>
      <w:pPr>
        <w:spacing w:after="60"/>
      </w:pPr>
      <w:r>
        <w:rPr>
          <w:color w:val="8A8A7D"/>
          <w:sz w:val="18"/>
          <w:szCs w:val="18"/>
        </w:rPr>
        <w:t xml:space="preserve">Data shared: case reference, GMPI reference number  •  Direction: practice → GMPI</w:t>
      </w:r>
    </w:p>
    <w:p>
      <w:pPr>
        <w:spacing w:after="40" w:before="260"/>
      </w:pPr>
      <w:r>
        <w:rPr>
          <w:b/>
          <w:bCs/>
          <w:color w:val="20211D"/>
          <w:sz w:val="24"/>
          <w:szCs w:val="24"/>
        </w:rPr>
        <w:t xml:space="preserve">Solicitors</w:t>
      </w:r>
      <w:r>
        <w:t xml:space="preserve">   </w:t>
      </w:r>
      <w:r>
        <w:rPr>
          <w:b/>
          <w:bCs/>
          <w:color w:val="96631A"/>
          <w:sz w:val="16"/>
          <w:szCs w:val="16"/>
        </w:rPr>
        <w:t xml:space="preserve">Protocol status: to confirm</w:t>
      </w:r>
    </w:p>
    <w:p>
      <w:pPr>
        <w:spacing w:after="120"/>
      </w:pPr>
      <w:r>
        <w:rPr>
          <w:i w:val="false"/>
          <w:iCs w:val="false"/>
          <w:color w:val="20211D"/>
          <w:sz w:val="21"/>
          <w:szCs w:val="21"/>
        </w:rPr>
        <w:t xml:space="preserve">Either the complainant's own legal representation, or the practice's, depending on the case. Recorded as a distinct “Source” category and as a solicitor reference field on both Concerns and SARs.</w:t>
      </w:r>
    </w:p>
    <w:p>
      <w:pPr>
        <w:spacing w:after="60"/>
      </w:pPr>
      <w:r>
        <w:rPr>
          <w:color w:val="8A8A7D"/>
          <w:sz w:val="18"/>
          <w:szCs w:val="18"/>
        </w:rPr>
        <w:t xml:space="preserve">Data shared: case/SAR reference, category, summary, correspondence log  •  Direction: bidirectional</w:t>
      </w:r>
    </w:p>
    <w:p>
      <w:pPr>
        <w:spacing w:after="40" w:before="260"/>
      </w:pPr>
      <w:r>
        <w:rPr>
          <w:b/>
          <w:bCs/>
          <w:color w:val="20211D"/>
          <w:sz w:val="24"/>
          <w:szCs w:val="24"/>
        </w:rPr>
        <w:t xml:space="preserve">Coroner</w:t>
      </w:r>
      <w:r>
        <w:t xml:space="preserve">   </w:t>
      </w:r>
      <w:r>
        <w:rPr>
          <w:b/>
          <w:bCs/>
          <w:color w:val="96631A"/>
          <w:sz w:val="16"/>
          <w:szCs w:val="16"/>
        </w:rPr>
        <w:t xml:space="preserve">Protocol status: to confirm</w:t>
      </w:r>
    </w:p>
    <w:p>
      <w:pPr>
        <w:spacing w:after="120"/>
      </w:pPr>
      <w:r>
        <w:rPr>
          <w:i w:val="false"/>
          <w:iCs w:val="false"/>
          <w:color w:val="20211D"/>
          <w:sz w:val="21"/>
          <w:szCs w:val="21"/>
        </w:rPr>
        <w:t xml:space="preserve">Concerns connected to a coronial process — inherently the most sensitive category in the list, typically following a death.</w:t>
      </w:r>
    </w:p>
    <w:p>
      <w:pPr>
        <w:spacing w:after="60"/>
      </w:pPr>
      <w:r>
        <w:rPr>
          <w:color w:val="8A8A7D"/>
          <w:sz w:val="18"/>
          <w:szCs w:val="18"/>
        </w:rPr>
        <w:t xml:space="preserve">Data shared: case reference, category, summary, correspondence log  •  Direction: practice → coroner</w:t>
      </w:r>
    </w:p>
    <w:p>
      <w:pPr>
        <w:spacing w:after="40" w:before="260"/>
      </w:pPr>
      <w:r>
        <w:rPr>
          <w:b/>
          <w:bCs/>
          <w:color w:val="20211D"/>
          <w:sz w:val="24"/>
          <w:szCs w:val="24"/>
        </w:rPr>
        <w:t xml:space="preserve">Police</w:t>
      </w:r>
      <w:r>
        <w:t xml:space="preserve">   </w:t>
      </w:r>
      <w:r>
        <w:rPr>
          <w:b/>
          <w:bCs/>
          <w:color w:val="96631A"/>
          <w:sz w:val="16"/>
          <w:szCs w:val="16"/>
        </w:rPr>
        <w:t xml:space="preserve">Protocol status: to confirm</w:t>
      </w:r>
    </w:p>
    <w:p>
      <w:pPr>
        <w:spacing w:after="120"/>
      </w:pPr>
      <w:r>
        <w:rPr>
          <w:i w:val="false"/>
          <w:iCs w:val="false"/>
          <w:color w:val="20211D"/>
          <w:sz w:val="21"/>
          <w:szCs w:val="21"/>
        </w:rPr>
        <w:t xml:space="preserve">Concerns involving a police referral or investigation (e.g. North Wales Police, depending on the practice's force area).</w:t>
      </w:r>
    </w:p>
    <w:p>
      <w:pPr>
        <w:spacing w:after="60"/>
      </w:pPr>
      <w:r>
        <w:rPr>
          <w:color w:val="8A8A7D"/>
          <w:sz w:val="18"/>
          <w:szCs w:val="18"/>
        </w:rPr>
        <w:t xml:space="preserve">Data shared: case reference, category, summary  •  Direction: practice → police</w:t>
      </w:r>
    </w:p>
    <w:p>
      <w:pPr>
        <w:spacing w:after="40" w:before="260"/>
      </w:pPr>
      <w:r>
        <w:rPr>
          <w:b/>
          <w:bCs/>
          <w:color w:val="20211D"/>
          <w:sz w:val="24"/>
          <w:szCs w:val="24"/>
        </w:rPr>
        <w:t xml:space="preserve">Welsh Risk Pool</w:t>
      </w:r>
      <w:r>
        <w:t xml:space="preserve">   </w:t>
      </w:r>
      <w:r>
        <w:rPr>
          <w:b/>
          <w:bCs/>
          <w:color w:val="96631A"/>
          <w:sz w:val="16"/>
          <w:szCs w:val="16"/>
        </w:rPr>
        <w:t xml:space="preserve">Protocol status: to confirm</w:t>
      </w:r>
    </w:p>
    <w:p>
      <w:pPr>
        <w:spacing w:after="120"/>
      </w:pPr>
      <w:r>
        <w:rPr>
          <w:i w:val="false"/>
          <w:iCs w:val="false"/>
          <w:color w:val="20211D"/>
          <w:sz w:val="21"/>
          <w:szCs w:val="21"/>
        </w:rPr>
        <w:t xml:space="preserve">Not a per-case correspondence flow, but a distinct annual reporting obligation: Primovex tracks a “Learning from Events” report status (not required / in progress / sent) per concern, feeding the practice's Welsh Risk Pool submission.</w:t>
      </w:r>
    </w:p>
    <w:p>
      <w:pPr>
        <w:spacing w:after="60"/>
      </w:pPr>
      <w:r>
        <w:rPr>
          <w:color w:val="8A8A7D"/>
          <w:sz w:val="18"/>
          <w:szCs w:val="18"/>
        </w:rPr>
        <w:t xml:space="preserve">Data shared: aggregate category/outcome counts, individual LFE report status per case  •  Direction: practice → Welsh Risk Pool</w:t>
      </w:r>
    </w:p>
    <w:p>
      <w:pPr>
        <w:spacing w:after="40" w:before="260"/>
      </w:pPr>
      <w:r>
        <w:rPr>
          <w:b/>
          <w:bCs/>
          <w:color w:val="20211D"/>
          <w:sz w:val="24"/>
          <w:szCs w:val="24"/>
        </w:rPr>
        <w:t xml:space="preserve">Ombudsman</w:t>
      </w:r>
      <w:r>
        <w:t xml:space="preserve">   </w:t>
      </w:r>
      <w:r>
        <w:rPr>
          <w:b/>
          <w:bCs/>
          <w:color w:val="3D6B4F"/>
          <w:sz w:val="16"/>
          <w:szCs w:val="16"/>
        </w:rPr>
        <w:t xml:space="preserve">No current data (defined, not yet used)</w:t>
      </w:r>
    </w:p>
    <w:p>
      <w:pPr>
        <w:spacing w:after="120"/>
      </w:pPr>
      <w:r>
        <w:rPr>
          <w:i w:val="false"/>
          <w:iCs w:val="false"/>
          <w:color w:val="20211D"/>
          <w:sz w:val="21"/>
          <w:szCs w:val="21"/>
        </w:rPr>
        <w:t xml:space="preserve">Public Services Ombudsman for Wales. Available as a Source category in Primovex but no case has been recorded against it in the data reviewed.</w:t>
      </w:r>
    </w:p>
    <w:p>
      <w:pPr>
        <w:pStyle w:val="Heading2"/>
        <w:pBdr>
          <w:bottom w:val="single" w:color="DCD8CD" w:sz="4" w:space="6"/>
        </w:pBdr>
        <w:spacing w:after="140" w:before="320"/>
      </w:pPr>
      <w:r>
        <w:rPr>
          <w:b/>
          <w:bCs/>
          <w:color w:val="20211D"/>
          <w:sz w:val="24"/>
          <w:szCs w:val="24"/>
        </w:rPr>
        <w:t xml:space="preserve">Technical third parties</w:t>
      </w:r>
    </w:p>
    <w:p>
      <w:pPr>
        <w:spacing w:after="120"/>
      </w:pPr>
      <w:r>
        <w:rPr>
          <w:i w:val="false"/>
          <w:iCs w:val="false"/>
          <w:color w:val="5B5B52"/>
          <w:sz w:val="21"/>
          <w:szCs w:val="21"/>
        </w:rPr>
        <w:t xml:space="preserve">Distinct from the bodies above: these receive data automatically as a side effect of a feature working, not because a member of staff chose to share a case. Not a WASPI matter in themselves (no patient data is involved), but they belong on the record for the DPIA’s third-party section.</w:t>
      </w:r>
    </w:p>
    <w:p>
      <w:pPr>
        <w:spacing w:after="40" w:before="260"/>
      </w:pPr>
      <w:r>
        <w:rPr>
          <w:b/>
          <w:bCs/>
          <w:color w:val="20211D"/>
          <w:sz w:val="24"/>
          <w:szCs w:val="24"/>
        </w:rPr>
        <w:t xml:space="preserve">QR code image service (api.qrserver.com)</w:t>
      </w:r>
      <w:r>
        <w:t xml:space="preserve">   </w:t>
      </w:r>
      <w:r>
        <w:rPr>
          <w:b/>
          <w:bCs/>
          <w:color w:val="96631A"/>
          <w:sz w:val="16"/>
          <w:szCs w:val="16"/>
        </w:rPr>
        <w:t xml:space="preserve">Assessment: to confirm</w:t>
      </w:r>
    </w:p>
    <w:p>
      <w:pPr>
        <w:spacing w:after="120"/>
      </w:pPr>
      <w:r>
        <w:rPr>
          <w:i w:val="false"/>
          <w:iCs w:val="false"/>
          <w:color w:val="20211D"/>
          <w:sz w:val="21"/>
          <w:szCs w:val="21"/>
        </w:rPr>
        <w:t xml:space="preserve">When staff print or view QR labels for compliance assets and clinical kit (fire points, water outlets, fridges, anaphylaxis boxes, emergency drug kits), Primovex loads the QR image from a public third-party API instead of generating it on the device. The code’s content travels to that service in the request URL.</w:t>
      </w:r>
    </w:p>
    <w:p>
      <w:pPr>
        <w:spacing w:after="60"/>
      </w:pPr>
      <w:r>
        <w:rPr>
          <w:color w:val="8A8A7D"/>
          <w:sz w:val="18"/>
          <w:szCs w:val="18"/>
        </w:rPr>
        <w:t xml:space="preserve">Data shared: the QR payload — an internal asset identifier only (e.g. MEDTRAK:COMPLIANCE:&lt;asset id&gt;, or asset collection + asset ID for clinical kit) — plus, unavoidably, the practice’s IP address and the time of the request  •  Direction: practice → third-party service  •  Not shared: any patient, staff, case or SAR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A8A7D" w:sz="6"/>
              <w:left w:val="dashed" w:color="8A8A7D" w:sz="6"/>
              <w:bottom w:val="dashed" w:color="8A8A7D" w:sz="6"/>
              <w:right w:val="dashed" w:color="8A8A7D" w:sz="6"/>
            </w:tcBorders>
            <w:shd w:fill="F0EFE9" w:color="auto" w:val="clear"/>
            <w:tcMar>
              <w:top w:type="dxa" w:w="140"/>
              <w:left w:type="dxa" w:w="160"/>
              <w:bottom w:type="dxa" w:w="140"/>
              <w:right w:type="dxa" w:w="160"/>
            </w:tcMar>
          </w:tcPr>
          <w:p>
            <w:pPr>
              <w:spacing w:after="60"/>
            </w:pPr>
            <w:r>
              <w:rPr>
                <w:rFonts w:ascii="Consolas" w:cs="Consolas" w:eastAsia="Consolas" w:hAnsi="Consolas"/>
                <w:b/>
                <w:bCs/>
                <w:color w:val="20211D"/>
                <w:sz w:val="16"/>
                <w:szCs w:val="16"/>
              </w:rPr>
              <w:t xml:space="preserve">TO CHECK</w:t>
            </w:r>
          </w:p>
          <w:p>
            <w:r>
              <w:rPr>
                <w:i/>
                <w:iCs/>
                <w:color w:val="5B5B52"/>
                <w:sz w:val="20"/>
                <w:szCs w:val="20"/>
              </w:rPr>
              <w:t xml:space="preserve">The operator, hosting location and logging/retention policy of this service haven’t been assessed, and it isn’t a supplier the practice has a contract with. Two options: (1) preferred — generate QR codes inside Primovex so nothing leaves the device, which removes this flow entirely and needs no assessment; or (2) keep it and record it as a third-party service in the DPIA with the IG lead’s agreement, on the basis that the payload is internal asset IDs only. Either way the payload must stay free of patient- or staff-identifying data — that is the line that keeps this a low-risk flow.</w:t>
            </w:r>
          </w:p>
        </w:tc>
      </w:tr>
    </w:tbl>
    <w:p>
      <w:pPr>
        <w:pStyle w:val="Heading2"/>
        <w:pBdr>
          <w:bottom w:val="single" w:color="DCD8CD" w:sz="4" w:space="6"/>
        </w:pBdr>
        <w:spacing w:after="140" w:before="320"/>
      </w:pPr>
      <w:r>
        <w:rPr>
          <w:b/>
          <w:bCs/>
          <w:color w:val="20211D"/>
          <w:sz w:val="24"/>
          <w:szCs w:val="24"/>
        </w:rPr>
        <w:t xml:space="preserve">Recommended next step</w:t>
      </w:r>
    </w:p>
    <w:p>
      <w:pPr>
        <w:spacing w:after="120"/>
      </w:pPr>
      <w:r>
        <w:rPr>
          <w:i w:val="false"/>
          <w:iCs w:val="false"/>
          <w:color w:val="20211D"/>
          <w:sz w:val="21"/>
          <w:szCs w:val="21"/>
        </w:rPr>
        <w:t xml:space="preserve">For each body above marked “to confirm,” ask your IG/WASPI contact (likely via BCUHB) whether an existing Information Sharing Protocol already covers “GP practice governance correspondence with [body],” or whether this specific flow needs its own ISP or Data Disclosure Agreement. Several of these (BCUHB itself, the health-board-mediated bodies) are likely already covered by standing NHS Wales arrangements; the ones most likely to need a fresh look are the less routine ones — coroner, police, and solicitor correspondence — since those tend to be handled case-by-case rather than under a standing agreement. The QR image service above isn’t a WASPI question — raise it with your IG lead alongside the DPIA.</w:t>
      </w:r>
    </w:p>
    <w:p>
      <w:pPr>
        <w:pBdr>
          <w:top w:val="single" w:color="DCD8CD" w:sz="4"/>
        </w:pBdr>
        <w:spacing w:before="400"/>
      </w:pPr>
      <w:r>
        <w:rPr>
          <w:i/>
          <w:iCs/>
          <w:color w:val="8A8A7D"/>
          <w:sz w:val="16"/>
          <w:szCs w:val="16"/>
        </w:rPr>
        <w:t xml:space="preserve">Compiled from Primovex's Concerns “Source” category list and correspondence-log data model, 18 September 2026; technical third-party section added following the same-day security review. Protocol status for every body above is marked “to confirm” because verifying it requires access to the practice's actual WASPI/ISP records, which this technical review has no visibility into.</w:t>
      </w:r>
    </w:p>
    <w:sectPr>
      <w:footerReference w:type="default" r:id="rId7"/>
      <w:pgSz w:w="11906" w:h="16838" w:orient="portrait"/>
      <w:pgMar w:top="1000" w:right="1120" w:bottom="1000" w:left="11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D8CD" w:sz="4"/>
      </w:pBdr>
      <w:spacing w:before="100"/>
    </w:pPr>
    <w:r>
      <w:rPr>
        <w:color w:val="8A8A7D"/>
        <w:sz w:val="15"/>
        <w:szCs w:val="15"/>
      </w:rPr>
      <w:t xml:space="preserve">Primovex Data-Sharing Map</w:t>
    </w:r>
    <w:r>
      <w:rPr>
        <w:color w:val="8A8A7D"/>
        <w:sz w:val="15"/>
        <w:szCs w:val="15"/>
      </w:rPr>
      <w:t xml:space="preserve">   •   p. </w:t>
    </w:r>
    <w:r>
      <w:rPr>
        <w:color w:val="8A8A7D"/>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2026-09-18T14:29:07.454Z</dcterms:created>
  <dcterms:modified xsi:type="dcterms:W3CDTF">2026-09-18T14:29:07.454Z</dcterms:modified>
</cp:coreProperties>
</file>

<file path=docProps/custom.xml><?xml version="1.0" encoding="utf-8"?>
<Properties xmlns="http://schemas.openxmlformats.org/officeDocument/2006/custom-properties" xmlns:vt="http://schemas.openxmlformats.org/officeDocument/2006/docPropsVTypes"/>
</file>