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麻城石材循环经济产业园</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中部(麻城)石材产业园开发有限公司是麻城市政府重点招商引资项目，2013年入驻麻城，采取以商招商方式，承建：中部（麻城）石材循环经济产业园，2014年省发改委重点建设项目。该项目由麻城市政府委托湖北华建石材工艺有限公司整体开发，中国民生银行参股，由该公司进行统一规划，统一招商、统一推广、统一管理。</w:t>
        <w:br/>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麻城石材循环经济产业园</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麻城市，湖北省辖县级市，由黄冈市代管。地处湖北省东北部，黄冈市北部，长江中游北岸大别山中段南麓，鄂豫皖三省交界处。 武汉城市圈重要组成部分。麻城版图面积3747平方公里，辖19个乡镇办、1个省级经济开发区和1个国家级湿地公园。</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麻城石材循环经济产业园</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麻城石材循环经济产业园</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commentRangeStart w:id="5"/>
      <w:bookmarkStart w:id="1" w:name="OLE_LINK3"/>
      <w:r>
        <w:rPr>
          <w:rFonts w:ascii="Times New Roman" w:hAnsi="Times New Roman" w:eastAsia="宋体" w:cs="Times New Roman"/>
          <w:sz w:val="24"/>
          <w:szCs w:val="24"/>
        </w:rPr>
        <w:t>麻城石材循环经济产业园</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占地2.5万亩，目前建成1.5万亩。</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麻城石材循环经济产业园</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麻城石材循环经济产业园</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麻城石材循环经济产业园</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0"/>
      <w:bookmarkStart w:id="3" w:name="OLE_LINK5"/>
      <w:r>
        <w:rPr>
          <w:rFonts w:ascii="Times New Roman" w:hAnsi="Times New Roman" w:eastAsia="宋体" w:cs="Times New Roman"/>
          <w:sz w:val="24"/>
          <w:szCs w:val="24"/>
        </w:rPr>
        <w:t>麻城石材循环经济产业园</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园区东依白鸭山，西至麻白公路，南临麻溪河，北达塘凌公路</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麻城市</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年平均气温为16.1</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℃，极端最高气温为39.8</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℃，极端最低气温为-12℃。麻城气候兼南方和北方的某些特点，为南北兼有的气候特征，属亚热带大陆性湿润季风气候，江淮小气候区，山区、丘陵、平原各异。</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在《民用建筑热工设计规范》中，将我国划分为五个热工设计亚热带，麻城市属于亚热带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麻城石材循环经济产业园</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北纬31°11′，东经115°01′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1019.5hPa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998.8hPa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35.5℃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2.0m/s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以上参数摘自《民用建筑供暖通风与空气调节设计规范》GB50736-2012中麻城市</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麻城石材循环经济产业园</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图2麻城市</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bookmarkStart w:id="4" w:name="OLE_LINK6"/>
      <w:commentRangeStart w:id="23"/>
      <w:r>
        <w:rPr>
          <w:rFonts w:ascii="Times New Roman" w:hAnsi="Times New Roman" w:eastAsia="宋体" w:cs="Times New Roman"/>
          <w:sz w:val="24"/>
          <w:szCs w:val="24"/>
        </w:rPr>
        <w:t>麻城石材循环经济产业园</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麻城市</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目每年采暖期3个月（12月15日～次年3月15日）。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麻城石材循环经济产业园</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麻城石材循环经济产业园</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全年的电-热-冷需求呈规律性变化趋势，其中：电负荷峰值为2463kWh，热负荷峰值为21861kWh，冷负荷峰值为12089kWh。全年电负荷共8100000kWh，热负荷共4181816kWh，冷负荷共9600000kWh。</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麻城石材循环经济产业园</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麻城市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麻城市</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麻城石材循环经济产业园</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为工业用电：谷时用电0.3元/kWh，峰时用电1元/kWh</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麻城市统计年鉴的数据，再经过调研，目前该地区制氢潜力优秀</w:t>
      </w:r>
      <w:r>
        <w:commentReference w:id="30"/>
      </w:r>
      <w:r>
        <w:rPr>
          <w:rFonts w:hint="eastAsia"/>
          <w:lang w:eastAsia="zh-CN"/>
        </w:rPr>
        <w:t>。</w:t>
      </w: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麻城石材循环经济产业园</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1.399</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90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30000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13</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10000.0</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燃料电池、地热井、地源热泵、电解槽、储氢罐、储热罐、光伏板、氢压机</w:t>
      </w:r>
      <w:r>
        <w:rPr>
          <w:rFonts w:ascii="Times New Roman" w:hAnsi="Times New Roman" w:eastAsia="宋体" w:cs="Times New Roman"/>
          <w:sz w:val="24"/>
          <w:szCs w:val="24"/>
        </w:rPr>
        <w:t>的投资成本；麻城石材循环经济产业园</w:t>
      </w:r>
      <w:r>
        <w:rPr>
          <w:rFonts w:hint="default" w:ascii="Times New Roman" w:hAnsi="Times New Roman" w:eastAsia="宋体" w:cs="Times New Roman"/>
          <w:sz w:val="24"/>
          <w:szCs w:val="24"/>
        </w:rPr>
        <w:t>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外电量上网，氢气价格设置为30</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6704.90</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麻城石材循环经济产业园</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none"/>
              </w:rPr>
              <w:t>燃料电池容量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600</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441</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3087</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1691</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2"/>
                <w:szCs w:val="22"/>
                <w:u w:val="none"/>
                <w:lang w:val="en-US" w:eastAsia="zh-CN" w:bidi="ar-SA"/>
              </w:rPr>
            </w:pPr>
            <w:r>
              <w:rPr>
                <w:rFonts w:hint="eastAsia" w:ascii="Times New Roman" w:hAnsi="Times New Roman" w:eastAsia="宋体" w:cs="Times New Roman"/>
                <w:sz w:val="22"/>
                <w:szCs w:val="22"/>
                <w:lang w:val="en-US" w:eastAsia="zh-CN" w:bidi="ar"/>
              </w:rPr>
              <w:t>N</w:t>
            </w:r>
            <w:r>
              <w:rPr>
                <w:rFonts w:ascii="Times New Roman" w:hAnsi="Times New Roman" w:cs="Times New Roman"/>
                <w:sz w:val="22"/>
                <w:szCs w:val="22"/>
                <w:lang w:val="en-US" w:eastAsia="zh-CN" w:bidi="ar"/>
              </w:rPr>
              <w:t>m</w:t>
            </w:r>
            <w:r>
              <w:rPr>
                <w:rFonts w:hint="eastAsia" w:ascii="Times New Roman" w:hAnsi="Times New Roman" w:cs="Times New Roman"/>
                <w:sz w:val="22"/>
                <w:szCs w:val="22"/>
                <w:vertAlign w:val="superscript"/>
                <w:lang w:val="en-US" w:eastAsia="zh-CN" w:bidi="ar"/>
              </w:rPr>
              <w:t>3</w:t>
            </w:r>
            <w:r>
              <w:rPr>
                <w:rFonts w:hint="eastAsia" w:ascii="Times New Roman" w:hAnsi="Times New Roman" w:cs="Times New Roman"/>
                <w:sz w:val="22"/>
                <w:szCs w:val="22"/>
                <w:lang w:val="en-US" w:eastAsia="zh-CN" w:bidi="ar"/>
              </w:rPr>
              <w:t>·h</w:t>
            </w:r>
            <w:r>
              <w:rPr>
                <w:rFonts w:hint="eastAsia" w:ascii="Times New Roman" w:hAnsi="Times New Roman" w:cs="Times New Roman"/>
                <w:sz w:val="22"/>
                <w:szCs w:val="22"/>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320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4379</w:t>
            </w: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t</w:t>
            </w:r>
            <w:commentRangeEnd w:id="40"/>
            <w:r>
              <w:rPr>
                <w:sz w:val="22"/>
              </w:rPr>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27793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rPr>
                <w:sz w:val="22"/>
              </w:rP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r>
        <w:rPr>
          <w:rFonts w:hint="eastAsia" w:ascii="Times New Roman" w:hAnsi="Times New Roman" w:eastAsia="宋体" w:cs="Times New Roman"/>
          <w:sz w:val="24"/>
          <w:szCs w:val="24"/>
        </w:rPr>
        <w:t>此处年化运行收益的计算中，系统供电价格为当地售电价格的</w:t>
      </w:r>
      <w:del w:id="0" w:author="KCALBTON" w:date="2022-06-01T01:01:20Z">
        <w:r>
          <w:rPr>
            <w:rFonts w:hint="default" w:ascii="Times New Roman" w:hAnsi="Times New Roman" w:eastAsia="宋体" w:cs="Times New Roman"/>
            <w:sz w:val="24"/>
            <w:szCs w:val="24"/>
            <w:lang w:val="en-US" w:eastAsia="zh-CN"/>
          </w:rPr>
          <w:delText>p</w:delText>
        </w:r>
      </w:del>
      <w:del w:id="1" w:author="KCALBTON" w:date="2022-06-01T01:01:20Z">
        <w:r>
          <w:rPr>
            <w:rFonts w:hint="default" w:ascii="Times New Roman" w:hAnsi="Times New Roman" w:eastAsia="宋体" w:cs="Times New Roman"/>
            <w:sz w:val="24"/>
            <w:szCs w:val="24"/>
            <w:lang w:val="en-US"/>
          </w:rPr>
          <w:delText>rice</w:delText>
        </w:r>
      </w:del>
      <w:del w:id="2" w:author="KCALBTON" w:date="2022-06-01T01:01:20Z">
        <w:r>
          <w:rPr>
            <w:rFonts w:hint="default" w:ascii="Times New Roman" w:hAnsi="Times New Roman" w:eastAsia="宋体" w:cs="Times New Roman"/>
            <w:sz w:val="24"/>
            <w:szCs w:val="24"/>
            <w:lang w:val="en-US" w:eastAsia="zh-CN"/>
          </w:rPr>
          <w:delText>_</w:delText>
        </w:r>
      </w:del>
      <w:del w:id="3" w:author="KCALBTON" w:date="2022-06-01T01:01:20Z">
        <w:r>
          <w:rPr>
            <w:rFonts w:hint="default" w:ascii="Times New Roman" w:hAnsi="Times New Roman" w:eastAsia="宋体" w:cs="Times New Roman"/>
            <w:sz w:val="24"/>
            <w:szCs w:val="24"/>
            <w:lang w:val="en-US"/>
          </w:rPr>
          <w:delText>dis</w:delText>
        </w:r>
      </w:del>
      <w:del w:id="4" w:author="KCALBTON" w:date="2022-06-01T01:01:20Z">
        <w:r>
          <w:rPr>
            <w:rStyle w:val="13"/>
            <w:rFonts w:hint="default"/>
            <w:lang w:val="en-US"/>
          </w:rPr>
          <w:commentReference w:id="41"/>
        </w:r>
      </w:del>
      <w:ins w:id="5" w:author="KCALBTON" w:date="2022-06-01T01:01:20Z">
        <w:r>
          <w:rPr>
            <w:rFonts w:hint="eastAsia" w:ascii="Times New Roman" w:hAnsi="Times New Roman" w:eastAsia="宋体" w:cs="Times New Roman"/>
            <w:sz w:val="24"/>
            <w:szCs w:val="24"/>
            <w:lang w:val="en-US" w:eastAsia="zh-CN"/>
          </w:rPr>
          <w:t>ppp</w:t>
        </w:r>
      </w:ins>
      <w:ins w:id="6" w:author="KCALBTON" w:date="2022-06-01T01:01:21Z">
        <w:r>
          <w:rPr>
            <w:rFonts w:hint="eastAsia" w:ascii="Times New Roman" w:hAnsi="Times New Roman" w:eastAsia="宋体" w:cs="Times New Roman"/>
            <w:sz w:val="24"/>
            <w:szCs w:val="24"/>
            <w:lang w:val="en-US" w:eastAsia="zh-CN"/>
          </w:rPr>
          <w:t>p</w:t>
        </w:r>
      </w:ins>
      <w:bookmarkStart w:id="15" w:name="_GoBack"/>
      <w:bookmarkEnd w:id="15"/>
      <w:r>
        <w:rPr>
          <w:rFonts w:hint="eastAsia" w:ascii="Times New Roman" w:hAnsi="Times New Roman" w:eastAsia="宋体" w:cs="Times New Roman"/>
          <w:sz w:val="24"/>
          <w:szCs w:val="24"/>
        </w:rPr>
        <w:t>倍，供热价格为</w:t>
      </w:r>
      <w:r>
        <w:rPr>
          <w:rFonts w:hint="eastAsia" w:ascii="Times New Roman" w:hAnsi="Times New Roman" w:eastAsia="宋体" w:cs="Times New Roman"/>
          <w:sz w:val="24"/>
          <w:szCs w:val="24"/>
          <w:lang w:val="en-US" w:eastAsia="zh-CN"/>
        </w:rPr>
        <w:t>5.8</w:t>
      </w:r>
      <w:r>
        <w:rPr>
          <w:rFonts w:hint="eastAsia" w:ascii="Times New Roman" w:hAnsi="Times New Roman" w:eastAsia="宋体" w:cs="Times New Roman"/>
          <w:sz w:val="24"/>
          <w:szCs w:val="24"/>
        </w:rPr>
        <w:t>元/（平方米·月），供冷价格为</w:t>
      </w:r>
      <w:r>
        <w:rPr>
          <w:rStyle w:val="13"/>
        </w:rPr>
        <w:commentReference w:id="42"/>
      </w:r>
      <w:r>
        <w:rPr>
          <w:rFonts w:hint="eastAsia" w:ascii="Times New Roman" w:hAnsi="Times New Roman" w:eastAsia="宋体" w:cs="Times New Roman"/>
          <w:sz w:val="24"/>
          <w:szCs w:val="24"/>
          <w:lang w:val="en-US" w:eastAsia="zh-CN"/>
        </w:rPr>
        <w:t>16</w:t>
      </w:r>
      <w:r>
        <w:rPr>
          <w:rFonts w:hint="eastAsia" w:ascii="Times New Roman" w:hAnsi="Times New Roman" w:eastAsia="宋体" w:cs="Times New Roman"/>
          <w:sz w:val="24"/>
          <w:szCs w:val="24"/>
        </w:rPr>
        <w:t>元/（平方米·月）。</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3"/>
      <w:r>
        <w:rPr>
          <w:rFonts w:ascii="Times New Roman" w:hAnsi="Times New Roman" w:eastAsia="宋体" w:cs="Times New Roman"/>
          <w:b/>
          <w:bCs/>
          <w:sz w:val="24"/>
          <w:szCs w:val="24"/>
        </w:rPr>
        <w:t>麻城石材循环经济产业园</w:t>
      </w:r>
      <w:commentRangeEnd w:id="43"/>
      <w:r>
        <w:rPr>
          <w:rFonts w:ascii="Times New Roman" w:hAnsi="Times New Roman" w:eastAsia="宋体" w:cs="Times New Roman"/>
          <w:b/>
          <w:bCs/>
          <w:sz w:val="24"/>
          <w:szCs w:val="24"/>
        </w:rPr>
        <w:commentReference w:id="43"/>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3678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bookmarkStart w:id="7" w:name="OLE_LINK11"/>
            <w:r>
              <w:rPr>
                <w:rFonts w:hint="eastAsia" w:ascii="Times New Roman" w:hAnsi="Times New Roman" w:eastAsia="宋体" w:cs="Times New Roman"/>
                <w:sz w:val="22"/>
              </w:rPr>
              <w:t>年</w:t>
            </w:r>
            <w:r>
              <w:rPr>
                <w:rFonts w:hint="eastAsia" w:ascii="Times New Roman" w:hAnsi="Times New Roman" w:eastAsia="宋体" w:cs="Times New Roman"/>
                <w:sz w:val="22"/>
                <w:lang w:val="en-US" w:eastAsia="zh-CN"/>
              </w:rPr>
              <w:t>化</w:t>
            </w:r>
            <w:r>
              <w:rPr>
                <w:rFonts w:hint="eastAsia" w:ascii="Times New Roman" w:hAnsi="Times New Roman" w:eastAsia="宋体" w:cs="Times New Roman"/>
                <w:sz w:val="22"/>
              </w:rPr>
              <w:t>运行收益</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1339.1</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5165.1</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w:t>
      </w:r>
      <w:r>
        <w:rPr>
          <w:rFonts w:ascii="Times New Roman" w:hAnsi="Times New Roman" w:eastAsia="宋体" w:cs="Times New Roman"/>
          <w:sz w:val="24"/>
          <w:szCs w:val="24"/>
        </w:rPr>
        <w:t>吨。</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最后，对光伏配置面积进行灵敏度测试，分析不同光伏铺设面积下系统的经济效益与减排效益。</w:t>
      </w:r>
    </w:p>
    <w:p>
      <w:pPr>
        <w:spacing w:line="360" w:lineRule="auto"/>
        <w:ind w:firstLine="480"/>
        <w:jc w:val="center"/>
        <w:rPr>
          <w:rFonts w:hint="eastAsia" w:ascii="Times New Roman" w:hAnsi="Times New Roman" w:eastAsia="宋体" w:cs="Times New Roman"/>
          <w:color w:val="0000FF"/>
          <w:sz w:val="24"/>
          <w:szCs w:val="24"/>
        </w:rPr>
      </w:pPr>
      <w:r>
        <w:rPr>
          <w:rFonts w:ascii="Times New Roman" w:hAnsi="Times New Roman" w:eastAsia="宋体" w:cs="Times New Roman"/>
          <w:b/>
          <w:bCs/>
          <w:sz w:val="24"/>
          <w:szCs w:val="24"/>
        </w:rPr>
        <w:t>表2（</w:t>
      </w:r>
      <w:r>
        <w:rPr>
          <w:rFonts w:hint="eastAsia" w:ascii="Times New Roman" w:hAnsi="Times New Roman" w:eastAsia="宋体" w:cs="Times New Roman"/>
          <w:b/>
          <w:bCs/>
          <w:sz w:val="24"/>
          <w:szCs w:val="24"/>
        </w:rPr>
        <w:t>c</w:t>
      </w:r>
      <w:r>
        <w:rPr>
          <w:rFonts w:ascii="Times New Roman" w:hAnsi="Times New Roman" w:eastAsia="宋体" w:cs="Times New Roman"/>
          <w:b/>
          <w:bCs/>
          <w:sz w:val="24"/>
          <w:szCs w:val="24"/>
        </w:rPr>
        <w:t>）麻城石材循环经济产业园并网</w:t>
      </w:r>
      <w:r>
        <w:rPr>
          <w:rFonts w:hint="eastAsia" w:ascii="Times New Roman" w:hAnsi="Times New Roman" w:eastAsia="宋体" w:cs="Times New Roman"/>
          <w:b/>
          <w:bCs/>
          <w:sz w:val="24"/>
          <w:szCs w:val="24"/>
        </w:rPr>
        <w:t>光伏灵敏度测试</w:t>
      </w:r>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16"/>
        <w:gridCol w:w="2153"/>
        <w:gridCol w:w="21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2474"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配置方案</w:t>
            </w:r>
          </w:p>
        </w:tc>
        <w:tc>
          <w:tcPr>
            <w:tcW w:w="1263"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光伏经济最优方案</w:t>
            </w:r>
          </w:p>
        </w:tc>
        <w:tc>
          <w:tcPr>
            <w:tcW w:w="1263"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光伏最大容量方案</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2474" w:type="pct"/>
            <w:tcBorders>
              <w:top w:val="single" w:color="auto" w:sz="8" w:space="0"/>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光伏面积（平方米）</w:t>
            </w:r>
          </w:p>
        </w:tc>
        <w:tc>
          <w:tcPr>
            <w:tcW w:w="1263"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107000</w:t>
            </w:r>
          </w:p>
        </w:tc>
        <w:tc>
          <w:tcPr>
            <w:tcW w:w="1263" w:type="pct"/>
            <w:tcBorders>
              <w:top w:val="single" w:color="auto" w:sz="8" w:space="0"/>
              <w:bottom w:val="nil"/>
            </w:tcBorders>
            <w:vAlign w:val="center"/>
          </w:tcPr>
          <w:p>
            <w:pPr>
              <w:jc w:val="center"/>
              <w:rPr>
                <w:rFonts w:ascii="Times New Roman" w:hAnsi="Times New Roman" w:eastAsia="宋体"/>
                <w:sz w:val="24"/>
              </w:rPr>
            </w:pPr>
            <w:r>
              <w:rPr>
                <w:rFonts w:ascii="Times New Roman" w:hAnsi="Times New Roman" w:eastAsia="宋体"/>
                <w:sz w:val="24"/>
              </w:rPr>
              <w:t>107000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2474"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年碳排量（吨）</w:t>
            </w:r>
          </w:p>
        </w:tc>
        <w:tc>
          <w:tcPr>
            <w:tcW w:w="1263"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1600.3</w:t>
            </w:r>
          </w:p>
        </w:tc>
        <w:tc>
          <w:tcPr>
            <w:tcW w:w="1263" w:type="pct"/>
            <w:tcBorders>
              <w:top w:val="nil"/>
              <w:bottom w:val="nil"/>
            </w:tcBorders>
            <w:vAlign w:val="center"/>
          </w:tcPr>
          <w:p>
            <w:pPr>
              <w:jc w:val="center"/>
              <w:rPr>
                <w:rFonts w:ascii="Times New Roman" w:hAnsi="Times New Roman" w:eastAsia="宋体"/>
                <w:sz w:val="24"/>
              </w:rPr>
            </w:pPr>
            <w:r>
              <w:rPr>
                <w:rFonts w:ascii="Times New Roman" w:hAnsi="Times New Roman" w:eastAsia="宋体"/>
                <w:sz w:val="24"/>
              </w:rPr>
              <w:t>1600.3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2474"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碳减排比例</w:t>
            </w:r>
          </w:p>
        </w:tc>
        <w:tc>
          <w:tcPr>
            <w:tcW w:w="1263"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0.8</w:t>
            </w:r>
          </w:p>
        </w:tc>
        <w:tc>
          <w:tcPr>
            <w:tcW w:w="1263" w:type="pct"/>
            <w:tcBorders>
              <w:top w:val="nil"/>
              <w:bottom w:val="nil"/>
            </w:tcBorders>
            <w:vAlign w:val="center"/>
          </w:tcPr>
          <w:p>
            <w:pPr>
              <w:jc w:val="center"/>
              <w:rPr>
                <w:rFonts w:ascii="Times New Roman" w:hAnsi="Times New Roman" w:eastAsia="宋体"/>
                <w:sz w:val="24"/>
              </w:rPr>
            </w:pPr>
            <w:r>
              <w:rPr>
                <w:rFonts w:ascii="Times New Roman" w:hAnsi="Times New Roman" w:eastAsia="宋体"/>
                <w:sz w:val="24"/>
              </w:rPr>
              <w:t>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2474"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总投资（万元）</w:t>
            </w:r>
          </w:p>
        </w:tc>
        <w:tc>
          <w:tcPr>
            <w:tcW w:w="1263"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14494</w:t>
            </w:r>
          </w:p>
        </w:tc>
        <w:tc>
          <w:tcPr>
            <w:tcW w:w="1263" w:type="pct"/>
            <w:tcBorders>
              <w:top w:val="nil"/>
              <w:bottom w:val="nil"/>
            </w:tcBorders>
            <w:vAlign w:val="center"/>
          </w:tcPr>
          <w:p>
            <w:pPr>
              <w:jc w:val="center"/>
              <w:rPr>
                <w:rFonts w:ascii="Times New Roman" w:hAnsi="Times New Roman" w:eastAsia="宋体"/>
                <w:sz w:val="24"/>
              </w:rPr>
            </w:pPr>
            <w:r>
              <w:rPr>
                <w:rFonts w:ascii="Times New Roman" w:hAnsi="Times New Roman" w:eastAsia="宋体"/>
                <w:sz w:val="24"/>
              </w:rPr>
              <w:t>125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2474" w:type="pct"/>
            <w:tcBorders>
              <w:top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投资回报年限</w:t>
            </w:r>
          </w:p>
        </w:tc>
        <w:tc>
          <w:tcPr>
            <w:tcW w:w="1263"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11.94</w:t>
            </w:r>
          </w:p>
        </w:tc>
        <w:tc>
          <w:tcPr>
            <w:tcW w:w="1263" w:type="pct"/>
            <w:tcBorders>
              <w:top w:val="nil"/>
            </w:tcBorders>
            <w:vAlign w:val="center"/>
          </w:tcPr>
          <w:p>
            <w:pPr>
              <w:jc w:val="center"/>
              <w:rPr>
                <w:rFonts w:ascii="Times New Roman" w:hAnsi="Times New Roman" w:eastAsia="宋体"/>
                <w:sz w:val="24"/>
              </w:rPr>
            </w:pPr>
            <w:r>
              <w:rPr>
                <w:rFonts w:ascii="Times New Roman" w:hAnsi="Times New Roman" w:eastAsia="宋体"/>
                <w:sz w:val="24"/>
              </w:rPr>
              <w:t>11.94</w:t>
            </w:r>
          </w:p>
        </w:tc>
      </w:tr>
    </w:tbl>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目前年用电量13-16亿度，预估未来3-5年，每年用电量增长20%。目前由麻城火电厂、大电网供电，周围有3个变电站。目前没有集中供热供冷，但有供热供冷需求。</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中部（麻城）石材循环经济产业园区，因园区太大、整体能耗太高，相当于一个小型的城区。计划在产业园里选取一块有代表意义的厂区先建立示范区，建设零碳分布式智慧能源中心，建设绿色氢水-循环分布式能源站，建立包括氢能燃料电池、储水、储氢、空调机组等供能系统，为发电侧提供存储及输出管理，实现氢、电、冷、热、可再生等多种能源交互、人-机-物三元融合、供需随机匹配与协同优化以及绿色零碳运行，打造零碳产业园区示范项目，再逐步推广。</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6.86</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0.6</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4"/>
      <w:r>
        <w:rPr>
          <w:rFonts w:ascii="Times New Roman" w:hAnsi="Times New Roman" w:eastAsia="宋体" w:cs="Times New Roman"/>
          <w:color w:val="000000"/>
          <w:sz w:val="24"/>
          <w:szCs w:val="24"/>
        </w:rPr>
        <w:t>麻城石材循环经济产业园</w:t>
      </w:r>
      <w:commentRangeEnd w:id="44"/>
      <w:r>
        <w:rPr>
          <w:rFonts w:ascii="Times New Roman" w:hAnsi="Times New Roman" w:eastAsia="宋体" w:cs="Times New Roman"/>
          <w:color w:val="000000"/>
          <w:sz w:val="24"/>
          <w:szCs w:val="24"/>
        </w:rPr>
        <w:commentReference w:id="44"/>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5"/>
      <w:r>
        <w:rPr>
          <w:rFonts w:ascii="Times New Roman" w:hAnsi="Times New Roman" w:eastAsia="宋体" w:cs="Times New Roman"/>
          <w:color w:val="000000"/>
          <w:sz w:val="24"/>
          <w:szCs w:val="24"/>
        </w:rPr>
        <w:t>麻城石材循环经济产业园</w:t>
      </w:r>
      <w:commentRangeEnd w:id="45"/>
      <w:r>
        <w:rPr>
          <w:rFonts w:ascii="Times New Roman" w:hAnsi="Times New Roman" w:eastAsia="宋体" w:cs="Times New Roman"/>
          <w:color w:val="000000"/>
          <w:sz w:val="24"/>
          <w:szCs w:val="24"/>
        </w:rPr>
        <w:commentReference w:id="45"/>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w:t>
      </w:r>
      <w:r>
        <w:rPr>
          <w:rFonts w:ascii="Times New Roman" w:hAnsi="Times New Roman" w:eastAsia="宋体" w:cs="Times New Roman"/>
          <w:color w:val="000000"/>
          <w:sz w:val="24"/>
          <w:szCs w:val="24"/>
        </w:rPr>
        <w:commentReference w:id="46"/>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39E821AD">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42462A2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106A4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05B7620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0C0D61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6571637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55BC51B6">
      <w:pPr>
        <w:pStyle w:val="5"/>
      </w:pPr>
    </w:p>
  </w:comment>
  <w:comment w:id="6" w:author="say橙子" w:date="2022-01-24T17:54:00Z" w:initials="">
    <w:p w14:paraId="5EEB519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4CC72A3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72FE7D3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58ED4D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289A3EF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22BA346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7B81DE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26136F1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008F685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530F1C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730B20A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3108675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4A7B64A3">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37F23EE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218A314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53EC5EDE">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2270280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47155CD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1769395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5DA1478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5F66586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282C185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1B031C3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304D7CC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25BA71C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5B6F3A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2F5643AF">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6FDC341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09AA3ADD">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701B4DC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7E827C9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407C3DA6">
      <w:pPr>
        <w:pStyle w:val="5"/>
      </w:pPr>
      <w:r>
        <w:rPr>
          <w:rFonts w:hint="eastAsia"/>
        </w:rPr>
        <w:t>不允许额外电量上网则没有这句</w:t>
      </w:r>
    </w:p>
  </w:comment>
  <w:comment w:id="38" w:author="say橙子" w:date="2022-01-24T19:19:00Z" w:initials="">
    <w:p w14:paraId="41DA09A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4AF1041A">
      <w:pPr>
        <w:pStyle w:val="5"/>
      </w:pPr>
      <w:r>
        <w:rPr>
          <w:rFonts w:hint="eastAsia"/>
          <w:lang w:val="en-US" w:eastAsia="zh-CN"/>
        </w:rPr>
        <w:t>热水罐、冷水罐容量小于1000用kg；大于1000用吨，数字除以1000</w:t>
      </w:r>
    </w:p>
  </w:comment>
  <w:comment w:id="39" w:author="say橙子" w:date="2022-01-24T19:20:00Z" w:initials="">
    <w:p w14:paraId="544E2318">
      <w:pPr>
        <w:pStyle w:val="5"/>
      </w:pPr>
      <w:r>
        <w:rPr>
          <w:rFonts w:hint="eastAsia"/>
        </w:rPr>
        <w:t>[城市输入数据-grid_planning_output_json-</w:t>
      </w:r>
    </w:p>
    <w:p w14:paraId="151F1499">
      <w:pPr>
        <w:pStyle w:val="5"/>
      </w:pPr>
      <w:r>
        <w:rPr>
          <w:rFonts w:hint="eastAsia"/>
        </w:rPr>
        <w:t>第二大块的参数]需要判断一下是否为0，为0不输出</w:t>
      </w:r>
    </w:p>
  </w:comment>
  <w:comment w:id="41" w:author="DongXiangxiang" w:date="2022-05-30T17:14:00Z" w:initials="D">
    <w:p w14:paraId="69D257C7">
      <w:pPr>
        <w:pStyle w:val="5"/>
      </w:pPr>
      <w:r>
        <w:rPr>
          <w:rFonts w:hint="eastAsia"/>
        </w:rPr>
        <w:t>替换</w:t>
      </w:r>
    </w:p>
  </w:comment>
  <w:comment w:id="42" w:author="DongXiangxiang" w:date="2022-05-30T17:12:00Z" w:initials="D">
    <w:p w14:paraId="7CB5719B">
      <w:pPr>
        <w:pStyle w:val="5"/>
      </w:pPr>
      <w:r>
        <w:rPr>
          <w:rFonts w:hint="eastAsia"/>
        </w:rPr>
        <w:t>替换</w:t>
      </w:r>
    </w:p>
  </w:comment>
  <w:comment w:id="43" w:author="say橙子" w:date="2022-01-24T19:21:00Z" w:initials="">
    <w:p w14:paraId="28A31F7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4" w:author="say橙子" w:date="2022-01-24T19:36:00Z" w:initials="">
    <w:p w14:paraId="0DFD3F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39:00Z" w:initials="">
    <w:p w14:paraId="547E27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6" w:author="say橙子" w:date="2022-01-24T19:39:00Z" w:initials="">
    <w:p w14:paraId="28B1140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9E821AD" w15:done="0"/>
  <w15:commentEx w15:paraId="42462A27" w15:done="0"/>
  <w15:commentEx w15:paraId="106A4444" w15:done="0"/>
  <w15:commentEx w15:paraId="05B76206" w15:done="0"/>
  <w15:commentEx w15:paraId="0C0D610A" w15:done="0"/>
  <w15:commentEx w15:paraId="55BC51B6" w15:done="0"/>
  <w15:commentEx w15:paraId="5EEB5197" w15:done="0"/>
  <w15:commentEx w15:paraId="4CC72A32" w15:done="0"/>
  <w15:commentEx w15:paraId="72FE7D3A" w15:done="0"/>
  <w15:commentEx w15:paraId="58ED4D44" w15:done="0"/>
  <w15:commentEx w15:paraId="289A3EF2" w15:done="0"/>
  <w15:commentEx w15:paraId="22BA346E" w15:done="0"/>
  <w15:commentEx w15:paraId="27B81DEF" w15:done="0"/>
  <w15:commentEx w15:paraId="26136F13" w15:done="0"/>
  <w15:commentEx w15:paraId="008F6850" w15:done="0"/>
  <w15:commentEx w15:paraId="530F1CDA" w15:done="0"/>
  <w15:commentEx w15:paraId="730B20A2" w15:done="0"/>
  <w15:commentEx w15:paraId="31086758" w15:done="0"/>
  <w15:commentEx w15:paraId="4A7B64A3" w15:done="0"/>
  <w15:commentEx w15:paraId="37F23EE9" w15:done="0"/>
  <w15:commentEx w15:paraId="218A314C" w15:done="0"/>
  <w15:commentEx w15:paraId="53EC5EDE" w15:done="0"/>
  <w15:commentEx w15:paraId="2270280F" w15:done="0"/>
  <w15:commentEx w15:paraId="47155CDE" w15:done="0"/>
  <w15:commentEx w15:paraId="1769395E" w15:done="0"/>
  <w15:commentEx w15:paraId="5DA14786" w15:done="0"/>
  <w15:commentEx w15:paraId="5F66586C" w15:done="0"/>
  <w15:commentEx w15:paraId="282C1853" w15:done="0"/>
  <w15:commentEx w15:paraId="1B031C37" w15:done="0"/>
  <w15:commentEx w15:paraId="304D7CC2" w15:done="0"/>
  <w15:commentEx w15:paraId="25BA71C6" w15:done="0"/>
  <w15:commentEx w15:paraId="5B6F3AB5" w15:done="0"/>
  <w15:commentEx w15:paraId="2F5643AF" w15:done="0"/>
  <w15:commentEx w15:paraId="6FDC3419" w15:done="0"/>
  <w15:commentEx w15:paraId="09AA3ADD" w15:done="0"/>
  <w15:commentEx w15:paraId="701B4DC6" w15:done="0"/>
  <w15:commentEx w15:paraId="7E827C90" w15:done="0"/>
  <w15:commentEx w15:paraId="407C3DA6" w15:done="0"/>
  <w15:commentEx w15:paraId="41DA09A5" w15:done="0"/>
  <w15:commentEx w15:paraId="4AF1041A" w15:done="0"/>
  <w15:commentEx w15:paraId="151F1499" w15:done="0"/>
  <w15:commentEx w15:paraId="69D257C7" w15:done="0"/>
  <w15:commentEx w15:paraId="7CB5719B" w15:done="0"/>
  <w15:commentEx w15:paraId="28A31F79" w15:done="0"/>
  <w15:commentEx w15:paraId="0DFD3FB5" w15:done="0"/>
  <w15:commentEx w15:paraId="547E271E" w15:done="0"/>
  <w15:commentEx w15:paraId="28B114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DongXiangxiang">
    <w15:presenceInfo w15:providerId="None" w15:userId="DongXiangxiang"/>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A0164C"/>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2A0B0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0704"/>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DE0D98"/>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A1B85"/>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6C21B2"/>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10</Pages>
  <Words>3605</Words>
  <Characters>4064</Characters>
  <Lines>39</Lines>
  <Paragraphs>11</Paragraphs>
  <TotalTime>1</TotalTime>
  <ScaleCrop>false</ScaleCrop>
  <LinksUpToDate>false</LinksUpToDate>
  <CharactersWithSpaces>4068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2022-05-31T17:01:23Z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C2A89C39758D4D97ACFB20015C10B5EA</vt:lpwstr>
  </property>
</Properties>
</file>