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ind w:firstLine="0"/>
        <w:jc w:val="center"/>
      </w:pPr>
      <w:r>
        <w:rPr>
          <w:rFonts w:ascii="Times New Roman" w:hAnsi="Times New Roman" w:eastAsia="黑体" w:cs="Times New Roman"/>
          <w:b/>
          <w:color w:val="1F4E79"/>
          <w:sz w:val="44"/>
        </w:rPr>
        <w:t>绿电直连微电网容量规划模型</w:t>
      </w:r>
    </w:p>
    <w:p>
      <w:pPr>
        <w:spacing w:after="80"/>
        <w:ind w:firstLine="0"/>
        <w:jc w:val="center"/>
      </w:pPr>
      <w:r>
        <w:rPr>
          <w:rFonts w:ascii="Times New Roman" w:hAnsi="Times New Roman" w:eastAsia="黑体" w:cs="Times New Roman"/>
          <w:b/>
          <w:color w:val="2E75B6"/>
          <w:sz w:val="32"/>
        </w:rPr>
        <w:t>仓库介绍与使用说明</w:t>
      </w:r>
    </w:p>
    <w:p>
      <w:pPr>
        <w:spacing w:after="360"/>
        <w:ind w:firstLine="0"/>
        <w:jc w:val="center"/>
      </w:pPr>
      <w:r>
        <w:rPr>
          <w:rFonts w:ascii="Times New Roman" w:hAnsi="Times New Roman" w:eastAsia="宋体" w:cs="Times New Roman"/>
          <w:b w:val="0"/>
          <w:color w:val="5B5B5B"/>
          <w:sz w:val="21"/>
        </w:rPr>
        <w:t>GitHub：https://github.com/gwyxjtu/greenpower（分支 mobile）</w:t>
      </w:r>
    </w:p>
    <w:p>
      <w:pPr>
        <w:pStyle w:val="Heading1"/>
        <w:spacing w:before="240" w:after="120"/>
        <w:ind w:firstLine="0"/>
      </w:pPr>
      <w:r>
        <w:rPr>
          <w:rFonts w:ascii="Arial" w:hAnsi="Arial" w:eastAsia="黑体" w:cs="Arial"/>
          <w:b/>
          <w:color w:val="1F4E79"/>
          <w:sz w:val="32"/>
        </w:rPr>
        <w:t>1 仓库简介</w:t>
      </w:r>
    </w:p>
    <w:p>
      <w:pPr>
        <w:spacing w:after="120" w:before="0" w:line="360" w:lineRule="auto"/>
        <w:ind w:firstLine="420"/>
      </w:pPr>
      <w:r>
        <w:rPr>
          <w:rFonts w:ascii="Times New Roman" w:hAnsi="Times New Roman" w:eastAsia="宋体" w:cs="Times New Roman"/>
          <w:b w:val="0"/>
          <w:sz w:val="24"/>
        </w:rPr>
        <w:t>本仓库实现智算中心绿电直连场景下的风电、光伏、储能与并网变压器容量协同优化。模型以全年 8760 小时运行模拟为基础，用 Gurobi 求解混合整数线性规划（MILP），目标为最小化年化综合成本。默认场景锚定宁夏 110 kV 两部制工商业电价口径。</w:t>
      </w:r>
    </w:p>
    <w:p>
      <w:pPr>
        <w:spacing w:after="120" w:before="0" w:line="360" w:lineRule="auto"/>
        <w:ind w:firstLine="420"/>
      </w:pPr>
      <w:r>
        <w:rPr>
          <w:rFonts w:ascii="Times New Roman" w:hAnsi="Times New Roman" w:eastAsia="宋体" w:cs="Times New Roman"/>
          <w:b w:val="0"/>
          <w:sz w:val="24"/>
        </w:rPr>
        <w:t>mobile 分支为精简交付版本：只保留求解脚本与原始气象数据，不含灵敏度扫描、固定厂实验、论文附件及算例结果目录。求解产生的文件写在本地 out/ 下，不纳入版本库。</w:t>
      </w:r>
    </w:p>
    <w:tbl>
      <w:tblPr>
        <w:tblW w:type="auto" w:w="0"/>
        <w:jc w:val="center"/>
        <w:tblLayout w:type="autofit"/>
        <w:tblLook w:firstColumn="1" w:firstRow="1" w:lastColumn="0" w:lastRow="0" w:noHBand="0" w:noVBand="1" w:val="04A0"/>
      </w:tblPr>
      <w:tblGrid>
        <w:gridCol w:w="4589"/>
        <w:gridCol w:w="4589"/>
      </w:tblGrid>
      <w:tr>
        <w:tc>
          <w:tcPr>
            <w:tcW w:type="dxa" w:w="4589"/>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color w:val="FFFFFF"/>
                <w:sz w:val="21"/>
              </w:rPr>
              <w:t>路径</w:t>
            </w:r>
          </w:p>
        </w:tc>
        <w:tc>
          <w:tcPr>
            <w:tcW w:type="dxa" w:w="4589"/>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color w:val="FFFFFF"/>
                <w:sz w:val="21"/>
              </w:rPr>
              <w:t>说明</w:t>
            </w:r>
          </w:p>
        </w:tc>
      </w:tr>
      <w:tr>
        <w:tc>
          <w:tcPr>
            <w:tcW w:type="dxa" w:w="4589"/>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params.py</w:t>
            </w:r>
          </w:p>
        </w:tc>
        <w:tc>
          <w:tcPr>
            <w:tcW w:type="dxa" w:w="4589"/>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全部标量参数，并生成 8760 h 负荷、风光出力系数与电价时序</w:t>
            </w:r>
          </w:p>
        </w:tc>
      </w:tr>
      <w:tr>
        <w:tc>
          <w:tcPr>
            <w:tcW w:type="dxa" w:w="4589"/>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green_power_opt.py</w:t>
            </w:r>
          </w:p>
        </w:tc>
        <w:tc>
          <w:tcPr>
            <w:tcW w:type="dxa" w:w="4589"/>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Gurobi 建模、求解与结果写出</w:t>
            </w:r>
          </w:p>
        </w:tc>
      </w:tr>
      <w:tr>
        <w:tc>
          <w:tcPr>
            <w:tcW w:type="dxa" w:w="4589"/>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data/pvwatts_hourly.csv</w:t>
            </w:r>
          </w:p>
        </w:tc>
        <w:tc>
          <w:tcPr>
            <w:tcW w:type="dxa" w:w="4589"/>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银川 PVWatts 小时数据（光伏 AC 出力、近地面风速）</w:t>
            </w:r>
          </w:p>
        </w:tc>
      </w:tr>
      <w:tr>
        <w:tc>
          <w:tcPr>
            <w:tcW w:type="dxa" w:w="4589"/>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requirements.txt</w:t>
            </w:r>
          </w:p>
        </w:tc>
        <w:tc>
          <w:tcPr>
            <w:tcW w:type="dxa" w:w="4589"/>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Python 依赖（numpy；Gurobi 需单独安装）</w:t>
            </w:r>
          </w:p>
        </w:tc>
      </w:tr>
      <w:tr>
        <w:tc>
          <w:tcPr>
            <w:tcW w:type="dxa" w:w="4589"/>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README.md</w:t>
            </w:r>
          </w:p>
        </w:tc>
        <w:tc>
          <w:tcPr>
            <w:tcW w:type="dxa" w:w="4589"/>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简要命令说明</w:t>
            </w:r>
          </w:p>
        </w:tc>
      </w:tr>
    </w:tbl>
    <w:p>
      <w:pPr>
        <w:spacing w:after="80"/>
      </w:pPr>
    </w:p>
    <w:p>
      <w:pPr>
        <w:pStyle w:val="Heading1"/>
        <w:spacing w:before="240" w:after="120"/>
        <w:ind w:firstLine="0"/>
      </w:pPr>
      <w:r>
        <w:rPr>
          <w:rFonts w:ascii="Arial" w:hAnsi="Arial" w:eastAsia="黑体" w:cs="Arial"/>
          <w:b/>
          <w:color w:val="1F4E79"/>
          <w:sz w:val="32"/>
        </w:rPr>
        <w:t>2 环境与使用方法</w:t>
      </w:r>
    </w:p>
    <w:p>
      <w:pPr>
        <w:pStyle w:val="Heading2"/>
        <w:spacing w:before="160" w:after="120"/>
        <w:ind w:firstLine="0"/>
      </w:pPr>
      <w:r>
        <w:rPr>
          <w:rFonts w:ascii="Arial" w:hAnsi="Arial" w:eastAsia="黑体" w:cs="Arial"/>
          <w:b/>
          <w:color w:val="1F4E79"/>
          <w:sz w:val="28"/>
        </w:rPr>
        <w:t>2.1 依赖</w:t>
      </w:r>
    </w:p>
    <w:p>
      <w:pPr>
        <w:spacing w:after="120" w:before="0" w:line="360" w:lineRule="auto"/>
        <w:ind w:firstLine="420"/>
      </w:pPr>
      <w:r>
        <w:rPr>
          <w:rFonts w:ascii="Times New Roman" w:hAnsi="Times New Roman" w:eastAsia="宋体" w:cs="Times New Roman"/>
          <w:b w:val="0"/>
          <w:sz w:val="24"/>
        </w:rPr>
        <w:t>需要 Python 3.9+、已授权的 Gurobi（含 gurobipy）以及 numpy。Gurobi License 与机器绑定，出现 HostID mismatch 时请在本机非沙箱环境运行。</w:t>
      </w:r>
    </w:p>
    <w:p>
      <w:pPr>
        <w:spacing w:before="80" w:after="160" w:line="276" w:lineRule="auto"/>
        <w:ind w:firstLine="0"/>
        <w:shd w:fill="F2F2F2" w:val="clear"/>
      </w:pPr>
      <w:r>
        <w:rPr>
          <w:rFonts w:ascii="Consolas" w:hAnsi="Consolas" w:eastAsia="宋体" w:cs="Consolas"/>
          <w:b w:val="0"/>
          <w:sz w:val="19"/>
        </w:rPr>
        <w:t>pip install -r requirements.txt</w:t>
        <w:br/>
        <w:t>python -c "import gurobipy; print(gurobipy.gurobi.version())"</w:t>
      </w:r>
    </w:p>
    <w:p>
      <w:pPr>
        <w:pStyle w:val="Heading2"/>
        <w:spacing w:before="160" w:after="120"/>
        <w:ind w:firstLine="0"/>
      </w:pPr>
      <w:r>
        <w:rPr>
          <w:rFonts w:ascii="Arial" w:hAnsi="Arial" w:eastAsia="黑体" w:cs="Arial"/>
          <w:b/>
          <w:color w:val="1F4E79"/>
          <w:sz w:val="28"/>
        </w:rPr>
        <w:t>2.2 运行命令</w:t>
      </w:r>
    </w:p>
    <w:p>
      <w:pPr>
        <w:spacing w:after="120" w:before="0" w:line="360" w:lineRule="auto"/>
        <w:ind w:firstLine="420"/>
      </w:pPr>
      <w:r>
        <w:rPr>
          <w:rFonts w:ascii="Times New Roman" w:hAnsi="Times New Roman" w:eastAsia="宋体" w:cs="Times New Roman"/>
          <w:b w:val="0"/>
          <w:sz w:val="24"/>
        </w:rPr>
        <w:t>在仓库根目录执行。不要写回 params.py 即可用命令行临时覆盖风光转移电价、投资折算系数和政策下限。</w:t>
      </w:r>
    </w:p>
    <w:p>
      <w:pPr>
        <w:spacing w:before="80" w:after="160" w:line="276" w:lineRule="auto"/>
        <w:ind w:firstLine="0"/>
        <w:shd w:fill="F2F2F2" w:val="clear"/>
      </w:pPr>
      <w:r>
        <w:rPr>
          <w:rFonts w:ascii="Consolas" w:hAnsi="Consolas" w:eastAsia="宋体" w:cs="Consolas"/>
          <w:b w:val="0"/>
          <w:sz w:val="19"/>
        </w:rPr>
        <w:t># 风光转移电价 μ=0，变压器固定 60 MW（φ/θ/ψ 用 params.py 默认）</w:t>
        <w:br/>
        <w:t>python green_power_opt.py --x-gd 60 --mu-re 0</w:t>
        <w:br/>
        <w:br/>
        <w:t># 变压器容量自由决策（0–200 MW）</w:t>
        <w:br/>
        <w:t>python green_power_opt.py --x-gd 0 --mu-re 0</w:t>
        <w:br/>
        <w:br/>
        <w:t># 投资不进入目标函数（R=0），指定输出目录</w:t>
        <w:br/>
        <w:t>python green_power_opt.py --x-gd 60 --r0 --mu-re 0.36 --out out/my_case</w:t>
      </w:r>
    </w:p>
    <w:tbl>
      <w:tblPr>
        <w:tblW w:type="auto" w:w="0"/>
        <w:jc w:val="center"/>
        <w:tblLayout w:type="autofit"/>
        <w:tblLook w:firstColumn="1" w:firstRow="1" w:lastColumn="0" w:lastRow="0" w:noHBand="0" w:noVBand="1" w:val="04A0"/>
      </w:tblPr>
      <w:tblGrid>
        <w:gridCol w:w="3060"/>
        <w:gridCol w:w="3060"/>
        <w:gridCol w:w="3060"/>
      </w:tblGrid>
      <w:tr>
        <w:tc>
          <w:tcPr>
            <w:tcW w:type="dxa" w:w="3060"/>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color w:val="FFFFFF"/>
                <w:sz w:val="21"/>
              </w:rPr>
              <w:t>选项</w:t>
            </w:r>
          </w:p>
        </w:tc>
        <w:tc>
          <w:tcPr>
            <w:tcW w:type="dxa" w:w="3060"/>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color w:val="FFFFFF"/>
                <w:sz w:val="21"/>
              </w:rPr>
              <w:t>含义</w:t>
            </w:r>
          </w:p>
        </w:tc>
        <w:tc>
          <w:tcPr>
            <w:tcW w:type="dxa" w:w="3060"/>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color w:val="FFFFFF"/>
                <w:sz w:val="21"/>
              </w:rPr>
              <w:t>默认</w:t>
            </w:r>
          </w:p>
        </w:tc>
      </w:tr>
      <w:tr>
        <w:tc>
          <w:tcPr>
            <w:tcW w:type="dxa" w:w="3060"/>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--x-gd</w:t>
            </w:r>
          </w:p>
        </w:tc>
        <w:tc>
          <w:tcPr>
            <w:tcW w:type="dxa" w:w="3060"/>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并网变压器容量（MW）。&gt;0 表示固定该容量；0 表示在 0–200 MW 内优化</w:t>
            </w:r>
          </w:p>
        </w:tc>
        <w:tc>
          <w:tcPr>
            <w:tcW w:type="dxa" w:w="3060"/>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60</w:t>
            </w:r>
          </w:p>
        </w:tc>
      </w:tr>
      <w:tr>
        <w:tc>
          <w:tcPr>
            <w:tcW w:type="dxa" w:w="3060"/>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--mu-re</w:t>
            </w:r>
          </w:p>
        </w:tc>
        <w:tc>
          <w:tcPr>
            <w:tcW w:type="dxa" w:w="3060"/>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风光自发自用转移电价，单位元/kWh；省略则用 params.py 中的 μ_PV、μ_WT</w:t>
            </w:r>
          </w:p>
        </w:tc>
        <w:tc>
          <w:tcPr>
            <w:tcW w:type="dxa" w:w="3060"/>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params.py</w:t>
            </w:r>
          </w:p>
        </w:tc>
      </w:tr>
      <w:tr>
        <w:tc>
          <w:tcPr>
            <w:tcW w:type="dxa" w:w="3060"/>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--r0</w:t>
            </w:r>
          </w:p>
        </w:tc>
        <w:tc>
          <w:tcPr>
            <w:tcW w:type="dxa" w:w="3060"/>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将资本回收系数 R（CRF）置 0，目标函数只含年运行净支出</w:t>
            </w:r>
          </w:p>
        </w:tc>
        <w:tc>
          <w:tcPr>
            <w:tcW w:type="dxa" w:w="3060"/>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关闭</w:t>
            </w:r>
          </w:p>
        </w:tc>
      </w:tr>
      <w:tr>
        <w:tc>
          <w:tcPr>
            <w:tcW w:type="dxa" w:w="3060"/>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--phi</w:t>
            </w:r>
          </w:p>
        </w:tc>
        <w:tc>
          <w:tcPr>
            <w:tcW w:type="dxa" w:w="3060"/>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自发自用 / 可用发电量 下限</w:t>
            </w:r>
          </w:p>
        </w:tc>
        <w:tc>
          <w:tcPr>
            <w:tcW w:type="dxa" w:w="3060"/>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params.py（0.6）</w:t>
            </w:r>
          </w:p>
        </w:tc>
      </w:tr>
      <w:tr>
        <w:tc>
          <w:tcPr>
            <w:tcW w:type="dxa" w:w="3060"/>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--theta</w:t>
            </w:r>
          </w:p>
        </w:tc>
        <w:tc>
          <w:tcPr>
            <w:tcW w:type="dxa" w:w="3060"/>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绿电发电量 / 年用电量 下限</w:t>
            </w:r>
          </w:p>
        </w:tc>
        <w:tc>
          <w:tcPr>
            <w:tcW w:type="dxa" w:w="3060"/>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params.py（0.3）</w:t>
            </w:r>
          </w:p>
        </w:tc>
      </w:tr>
      <w:tr>
        <w:tc>
          <w:tcPr>
            <w:tcW w:type="dxa" w:w="3060"/>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--out</w:t>
            </w:r>
          </w:p>
        </w:tc>
        <w:tc>
          <w:tcPr>
            <w:tcW w:type="dxa" w:w="3060"/>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结果目录。省略则写到 out/&lt;自动命名&gt;/</w:t>
            </w:r>
          </w:p>
        </w:tc>
        <w:tc>
          <w:tcPr>
            <w:tcW w:type="dxa" w:w="3060"/>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自动命名</w:t>
            </w:r>
          </w:p>
        </w:tc>
      </w:tr>
    </w:tbl>
    <w:p>
      <w:pPr>
        <w:spacing w:after="80"/>
      </w:pPr>
    </w:p>
    <w:p>
      <w:pPr>
        <w:spacing w:after="120" w:before="0" w:line="360" w:lineRule="auto"/>
        <w:ind w:firstLine="420"/>
      </w:pPr>
      <w:r>
        <w:rPr>
          <w:rFonts w:ascii="Times New Roman" w:hAnsi="Times New Roman" w:eastAsia="宋体" w:cs="Times New Roman"/>
          <w:b w:val="0"/>
          <w:sz w:val="24"/>
        </w:rPr>
        <w:t>单位约定：模型内部电量价为万元/MWh（1 万元/MWh = 0.1 元/kWh），容量价为万元/MW/月。命令行 --mu-re 一律按元/kWh 输入，程序内部会乘 0.1 换成万元/MWh。</w:t>
      </w:r>
    </w:p>
    <w:p>
      <w:pPr>
        <w:pStyle w:val="Heading2"/>
        <w:spacing w:before="160" w:after="120"/>
        <w:ind w:firstLine="0"/>
      </w:pPr>
      <w:r>
        <w:rPr>
          <w:rFonts w:ascii="Arial" w:hAnsi="Arial" w:eastAsia="黑体" w:cs="Arial"/>
          <w:b/>
          <w:color w:val="1F4E79"/>
          <w:sz w:val="28"/>
        </w:rPr>
        <w:t>2.3 修改默认参数</w:t>
      </w:r>
    </w:p>
    <w:p>
      <w:pPr>
        <w:spacing w:after="120" w:before="0" w:line="360" w:lineRule="auto"/>
        <w:ind w:firstLine="420"/>
      </w:pPr>
      <w:r>
        <w:rPr>
          <w:rFonts w:ascii="Times New Roman" w:hAnsi="Times New Roman" w:eastAsia="宋体" w:cs="Times New Roman"/>
          <w:b w:val="0"/>
          <w:sz w:val="24"/>
        </w:rPr>
        <w:t>长期改价、改占地、改负荷峰值等，请直接编辑 params.py。内部转移价必须低于网购电能量价（代码中有 assert mu_PV &lt; mu_EB）。风光资源：光伏直接使用 PVWatts AC 出力；风电由 10 m 风速外推至 100 m 轮毂高度后再标定到年等效利用小时数 Θ_WT。</w:t>
      </w:r>
    </w:p>
    <w:p>
      <w:pPr>
        <w:pStyle w:val="Heading1"/>
        <w:spacing w:before="240" w:after="120"/>
        <w:ind w:firstLine="0"/>
      </w:pPr>
      <w:r>
        <w:rPr>
          <w:rFonts w:ascii="Arial" w:hAnsi="Arial" w:eastAsia="黑体" w:cs="Arial"/>
          <w:b/>
          <w:color w:val="1F4E79"/>
          <w:sz w:val="32"/>
        </w:rPr>
        <w:t>3 模型输入与输出总览</w:t>
      </w:r>
    </w:p>
    <w:p>
      <w:pPr>
        <w:pStyle w:val="Heading2"/>
        <w:spacing w:before="160" w:after="120"/>
        <w:ind w:firstLine="0"/>
      </w:pPr>
      <w:r>
        <w:rPr>
          <w:rFonts w:ascii="Arial" w:hAnsi="Arial" w:eastAsia="黑体" w:cs="Arial"/>
          <w:b/>
          <w:color w:val="1F4E79"/>
          <w:sz w:val="28"/>
        </w:rPr>
        <w:t>3.1 在优化什么</w:t>
      </w:r>
    </w:p>
    <w:p>
      <w:pPr>
        <w:spacing w:after="120" w:before="0" w:line="360" w:lineRule="auto"/>
        <w:ind w:firstLine="420"/>
      </w:pPr>
      <w:r>
        <w:rPr>
          <w:rFonts w:ascii="Times New Roman" w:hAnsi="Times New Roman" w:eastAsia="宋体" w:cs="Times New Roman"/>
          <w:b w:val="0"/>
          <w:sz w:val="24"/>
        </w:rPr>
        <w:t>决策变量为四类装机：风电 x_WT（MW）、光伏 x_PV（MW）、储能 x_ST（MWh）、变压器 x_GD（MW）。同时优化全年逐时调度：风光实际出力、储能充放、向电网购电与余电上网。</w:t>
      </w:r>
    </w:p>
    <w:p>
      <w:pPr>
        <w:spacing w:after="120" w:before="0" w:line="360" w:lineRule="auto"/>
        <w:ind w:firstLine="420"/>
      </w:pPr>
      <w:r>
        <w:rPr>
          <w:rFonts w:ascii="Times New Roman" w:hAnsi="Times New Roman" w:eastAsia="宋体" w:cs="Times New Roman"/>
          <w:b w:val="0"/>
          <w:sz w:val="24"/>
        </w:rPr>
        <w:t>目标函数 J（万元/年）= R×（设备投资 + 专线投资）+ 风光转移电费 + 网购电能量费 + 容量/输配固定费 + 系统运行费与线损折价 + 政府性基金 − 余电上网收益。度电成本 c = J / 年用电量，单位元/kWh。加 --r0 时 R=0，投资不进入 J。</w:t>
      </w:r>
    </w:p>
    <w:p>
      <w:pPr>
        <w:spacing w:after="120" w:before="0" w:line="360" w:lineRule="auto"/>
        <w:ind w:firstLine="420"/>
      </w:pPr>
      <w:r>
        <w:rPr>
          <w:rFonts w:ascii="Times New Roman" w:hAnsi="Times New Roman" w:eastAsia="宋体" w:cs="Times New Roman"/>
          <w:b w:val="0"/>
          <w:sz w:val="24"/>
        </w:rPr>
        <w:t>主要约束包括：逐时功率平衡；风光出力不超过资源上限；光伏占地；储能能量动态、充放互斥与功率上限；购售电互斥且不超过变压器容量；政策 φ（自发自用下限）、ψ（上网上限）、θ（绿电发电量/负荷下限）。默认 MIPGap=1%，主求解 TimeLimit=300 秒。</w:t>
      </w:r>
    </w:p>
    <w:p>
      <w:pPr>
        <w:pStyle w:val="Heading2"/>
        <w:spacing w:before="160" w:after="120"/>
        <w:ind w:firstLine="0"/>
      </w:pPr>
      <w:r>
        <w:rPr>
          <w:rFonts w:ascii="Arial" w:hAnsi="Arial" w:eastAsia="黑体" w:cs="Arial"/>
          <w:b/>
          <w:color w:val="1F4E79"/>
          <w:sz w:val="28"/>
        </w:rPr>
        <w:t>3.2 输入</w:t>
      </w:r>
    </w:p>
    <w:tbl>
      <w:tblPr>
        <w:tblW w:type="auto" w:w="0"/>
        <w:jc w:val="center"/>
        <w:tblLayout w:type="autofit"/>
        <w:tblLook w:firstColumn="1" w:firstRow="1" w:lastColumn="0" w:lastRow="0" w:noHBand="0" w:noVBand="1" w:val="04A0"/>
      </w:tblPr>
      <w:tblGrid>
        <w:gridCol w:w="3060"/>
        <w:gridCol w:w="3060"/>
        <w:gridCol w:w="3060"/>
      </w:tblGrid>
      <w:tr>
        <w:tc>
          <w:tcPr>
            <w:tcW w:type="dxa" w:w="3060"/>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color w:val="FFFFFF"/>
                <w:sz w:val="21"/>
              </w:rPr>
              <w:t>类别</w:t>
            </w:r>
          </w:p>
        </w:tc>
        <w:tc>
          <w:tcPr>
            <w:tcW w:type="dxa" w:w="3060"/>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color w:val="FFFFFF"/>
                <w:sz w:val="21"/>
              </w:rPr>
              <w:t>来源</w:t>
            </w:r>
          </w:p>
        </w:tc>
        <w:tc>
          <w:tcPr>
            <w:tcW w:type="dxa" w:w="3060"/>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color w:val="FFFFFF"/>
                <w:sz w:val="21"/>
              </w:rPr>
              <w:t>说明</w:t>
            </w:r>
          </w:p>
        </w:tc>
      </w:tr>
      <w:tr>
        <w:tc>
          <w:tcPr>
            <w:tcW w:type="dxa" w:w="3060"/>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标量参数</w:t>
            </w:r>
          </w:p>
        </w:tc>
        <w:tc>
          <w:tcPr>
            <w:tcW w:type="dxa" w:w="3060"/>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params.py</w:t>
            </w:r>
          </w:p>
        </w:tc>
        <w:tc>
          <w:tcPr>
            <w:tcW w:type="dxa" w:w="3060"/>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造价、电价、政策比例、储能效率、占地、专线距离等，见第 4 节</w:t>
            </w:r>
          </w:p>
        </w:tc>
      </w:tr>
      <w:tr>
        <w:tc>
          <w:tcPr>
            <w:tcW w:type="dxa" w:w="3060"/>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设计负荷峰值 L</w:t>
            </w:r>
          </w:p>
        </w:tc>
        <w:tc>
          <w:tcPr>
            <w:tcW w:type="dxa" w:w="3060"/>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params.py</w:t>
            </w:r>
          </w:p>
        </w:tc>
        <w:tc>
          <w:tcPr>
            <w:tcW w:type="dxa" w:w="3060"/>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默认 50 MW；合成逐时负荷在 0.5L–L 之间</w:t>
            </w:r>
          </w:p>
        </w:tc>
      </w:tr>
      <w:tr>
        <w:tc>
          <w:tcPr>
            <w:tcW w:type="dxa" w:w="3060"/>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光伏出力系数 α_PV,t</w:t>
            </w:r>
          </w:p>
        </w:tc>
        <w:tc>
          <w:tcPr>
            <w:tcW w:type="dxa" w:w="3060"/>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pvwatts_hourly.csv</w:t>
            </w:r>
          </w:p>
        </w:tc>
        <w:tc>
          <w:tcPr>
            <w:tcW w:type="dxa" w:w="3060"/>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AC 出力(W)/1000，得到 0–1 的容量因子</w:t>
            </w:r>
          </w:p>
        </w:tc>
      </w:tr>
      <w:tr>
        <w:tc>
          <w:tcPr>
            <w:tcW w:type="dxa" w:w="3060"/>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风电出力系数 α_WT,t</w:t>
            </w:r>
          </w:p>
        </w:tc>
        <w:tc>
          <w:tcPr>
            <w:tcW w:type="dxa" w:w="3060"/>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同一 CSV 的 10 m 风速</w:t>
            </w:r>
          </w:p>
        </w:tc>
        <w:tc>
          <w:tcPr>
            <w:tcW w:type="dxa" w:w="3060"/>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外推至轮毂高度后按功率曲线并标定 Θ_WT</w:t>
            </w:r>
          </w:p>
        </w:tc>
      </w:tr>
      <w:tr>
        <w:tc>
          <w:tcPr>
            <w:tcW w:type="dxa" w:w="3060"/>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电价时序</w:t>
            </w:r>
          </w:p>
        </w:tc>
        <w:tc>
          <w:tcPr>
            <w:tcW w:type="dxa" w:w="3060"/>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params.py 生成</w:t>
            </w:r>
          </w:p>
        </w:tc>
        <w:tc>
          <w:tcPr>
            <w:tcW w:type="dxa" w:w="3060"/>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μ_PV/μ_WT/μ_EB 为常数序列；上网价 μ_ES 分峰平谷</w:t>
            </w:r>
          </w:p>
        </w:tc>
      </w:tr>
      <w:tr>
        <w:tc>
          <w:tcPr>
            <w:tcW w:type="dxa" w:w="3060"/>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命令行覆盖</w:t>
            </w:r>
          </w:p>
        </w:tc>
        <w:tc>
          <w:tcPr>
            <w:tcW w:type="dxa" w:w="3060"/>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CLI</w:t>
            </w:r>
          </w:p>
        </w:tc>
        <w:tc>
          <w:tcPr>
            <w:tcW w:type="dxa" w:w="3060"/>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μ、R、φ、θ、x_GD 是否固定</w:t>
            </w:r>
          </w:p>
        </w:tc>
      </w:tr>
    </w:tbl>
    <w:p>
      <w:pPr>
        <w:spacing w:after="80"/>
      </w:pPr>
    </w:p>
    <w:p>
      <w:pPr>
        <w:pStyle w:val="Heading2"/>
        <w:spacing w:before="160" w:after="120"/>
        <w:ind w:firstLine="0"/>
      </w:pPr>
      <w:r>
        <w:rPr>
          <w:rFonts w:ascii="Arial" w:hAnsi="Arial" w:eastAsia="黑体" w:cs="Arial"/>
          <w:b/>
          <w:color w:val="1F4E79"/>
          <w:sz w:val="28"/>
        </w:rPr>
        <w:t>3.3 输出</w:t>
      </w:r>
    </w:p>
    <w:p>
      <w:pPr>
        <w:spacing w:after="120" w:before="0" w:line="360" w:lineRule="auto"/>
        <w:ind w:firstLine="420"/>
      </w:pPr>
      <w:r>
        <w:rPr>
          <w:rFonts w:ascii="Times New Roman" w:hAnsi="Times New Roman" w:eastAsia="宋体" w:cs="Times New Roman"/>
          <w:b w:val="0"/>
          <w:sz w:val="24"/>
        </w:rPr>
        <w:t>每次成功求解在输出目录生成两个文件；若模型不可行，会写出 model.ilp（IIS 冲突约束）便于排查。</w:t>
      </w:r>
    </w:p>
    <w:tbl>
      <w:tblPr>
        <w:tblW w:type="auto" w:w="0"/>
        <w:jc w:val="center"/>
        <w:tblLayout w:type="autofit"/>
        <w:tblLook w:firstColumn="1" w:firstRow="1" w:lastColumn="0" w:lastRow="0" w:noHBand="0" w:noVBand="1" w:val="04A0"/>
      </w:tblPr>
      <w:tblGrid>
        <w:gridCol w:w="4589"/>
        <w:gridCol w:w="4589"/>
      </w:tblGrid>
      <w:tr>
        <w:tc>
          <w:tcPr>
            <w:tcW w:type="dxa" w:w="4589"/>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color w:val="FFFFFF"/>
                <w:sz w:val="21"/>
              </w:rPr>
              <w:t>文件</w:t>
            </w:r>
          </w:p>
        </w:tc>
        <w:tc>
          <w:tcPr>
            <w:tcW w:type="dxa" w:w="4589"/>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color w:val="FFFFFF"/>
                <w:sz w:val="21"/>
              </w:rPr>
              <w:t>内容</w:t>
            </w:r>
          </w:p>
        </w:tc>
      </w:tr>
      <w:tr>
        <w:tc>
          <w:tcPr>
            <w:tcW w:type="dxa" w:w="4589"/>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optimization_results.txt</w:t>
            </w:r>
          </w:p>
        </w:tc>
        <w:tc>
          <w:tcPr>
            <w:tcW w:type="dxa" w:w="4589"/>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求解状态、年化目标、最优容量、成本拆解、政策比例、年能量统计</w:t>
            </w:r>
          </w:p>
        </w:tc>
      </w:tr>
      <w:tr>
        <w:tc>
          <w:tcPr>
            <w:tcW w:type="dxa" w:w="4589"/>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timeseries_results.csv</w:t>
            </w:r>
          </w:p>
        </w:tc>
        <w:tc>
          <w:tcPr>
            <w:tcW w:type="dxa" w:w="4589"/>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8760 行逐时负荷、风光出力、储能充放与 SOC、购电与上网</w:t>
            </w:r>
          </w:p>
        </w:tc>
      </w:tr>
    </w:tbl>
    <w:p>
      <w:pPr>
        <w:spacing w:after="80"/>
      </w:pPr>
    </w:p>
    <w:p>
      <w:pPr>
        <w:pStyle w:val="Heading1"/>
        <w:spacing w:before="240" w:after="120"/>
        <w:ind w:firstLine="0"/>
      </w:pPr>
      <w:r>
        <w:rPr>
          <w:rFonts w:ascii="Arial" w:hAnsi="Arial" w:eastAsia="黑体" w:cs="Arial"/>
          <w:b/>
          <w:color w:val="1F4E79"/>
          <w:sz w:val="32"/>
        </w:rPr>
        <w:t>4 参数列表</w:t>
      </w:r>
    </w:p>
    <w:p>
      <w:pPr>
        <w:spacing w:after="120" w:before="0" w:line="360" w:lineRule="auto"/>
        <w:ind w:firstLine="420"/>
      </w:pPr>
      <w:r>
        <w:rPr>
          <w:rFonts w:ascii="Times New Roman" w:hAnsi="Times New Roman" w:eastAsia="宋体" w:cs="Times New Roman"/>
          <w:b w:val="0"/>
          <w:sz w:val="24"/>
        </w:rPr>
        <w:t>下列默认值与 params.py 一致。电量价栏同时给出常用「元/kWh」对照。导入 params 时，Θ_PV、Θ_WT 会被实际时序覆盖为光伏实测年利用小时数和标定后的风电年利用小时数。</w:t>
      </w:r>
    </w:p>
    <w:p>
      <w:pPr>
        <w:pStyle w:val="Heading2"/>
        <w:spacing w:before="160" w:after="120"/>
        <w:ind w:firstLine="0"/>
      </w:pPr>
      <w:r>
        <w:rPr>
          <w:rFonts w:ascii="Arial" w:hAnsi="Arial" w:eastAsia="黑体" w:cs="Arial"/>
          <w:b/>
          <w:color w:val="1F4E79"/>
          <w:sz w:val="28"/>
        </w:rPr>
        <w:t>4.1 时间与负荷</w:t>
      </w:r>
    </w:p>
    <w:tbl>
      <w:tblPr>
        <w:tblW w:type="auto" w:w="0"/>
        <w:jc w:val="center"/>
        <w:tblLayout w:type="autofit"/>
        <w:tblLook w:firstColumn="1" w:firstRow="1" w:lastColumn="0" w:lastRow="0" w:noHBand="0" w:noVBand="1" w:val="04A0"/>
      </w:tblPr>
      <w:tblGrid>
        <w:gridCol w:w="2295"/>
        <w:gridCol w:w="2295"/>
        <w:gridCol w:w="2295"/>
        <w:gridCol w:w="2295"/>
      </w:tblGrid>
      <w:tr>
        <w:tc>
          <w:tcPr>
            <w:tcW w:type="dxa" w:w="2295"/>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color w:val="FFFFFF"/>
                <w:sz w:val="21"/>
              </w:rPr>
              <w:t>符号 / 变量名</w:t>
            </w:r>
          </w:p>
        </w:tc>
        <w:tc>
          <w:tcPr>
            <w:tcW w:type="dxa" w:w="2295"/>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color w:val="FFFFFF"/>
                <w:sz w:val="21"/>
              </w:rPr>
              <w:t>含义</w:t>
            </w:r>
          </w:p>
        </w:tc>
        <w:tc>
          <w:tcPr>
            <w:tcW w:type="dxa" w:w="2295"/>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color w:val="FFFFFF"/>
                <w:sz w:val="21"/>
              </w:rPr>
              <w:t>默认值</w:t>
            </w:r>
          </w:p>
        </w:tc>
        <w:tc>
          <w:tcPr>
            <w:tcW w:type="dxa" w:w="2295"/>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color w:val="FFFFFF"/>
                <w:sz w:val="21"/>
              </w:rPr>
              <w:t>单位</w:t>
            </w:r>
          </w:p>
        </w:tc>
      </w:tr>
      <w:tr>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T</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全年时段数</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8760</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h</w:t>
            </w:r>
          </w:p>
        </w:tc>
      </w:tr>
      <w:tr>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delta</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时段长度</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1.0</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h</w:t>
            </w:r>
          </w:p>
        </w:tc>
      </w:tr>
      <w:tr>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L</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智算负荷设计峰值，合成负荷上限</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50</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MW</w:t>
            </w:r>
          </w:p>
        </w:tc>
      </w:tr>
      <w:tr>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load_t</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逐时负荷（由 L 生成日周期+季节）</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长度 T 的数组</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MW</w:t>
            </w:r>
          </w:p>
        </w:tc>
      </w:tr>
    </w:tbl>
    <w:p>
      <w:pPr>
        <w:spacing w:after="80"/>
      </w:pPr>
    </w:p>
    <w:p>
      <w:pPr>
        <w:pStyle w:val="Heading2"/>
        <w:spacing w:before="160" w:after="120"/>
        <w:ind w:firstLine="0"/>
      </w:pPr>
      <w:r>
        <w:rPr>
          <w:rFonts w:ascii="Arial" w:hAnsi="Arial" w:eastAsia="黑体" w:cs="Arial"/>
          <w:b/>
          <w:color w:val="1F4E79"/>
          <w:sz w:val="28"/>
        </w:rPr>
        <w:t>4.2 设备造价与专线</w:t>
      </w:r>
    </w:p>
    <w:tbl>
      <w:tblPr>
        <w:tblW w:type="auto" w:w="0"/>
        <w:jc w:val="center"/>
        <w:tblLayout w:type="autofit"/>
        <w:tblLook w:firstColumn="1" w:firstRow="1" w:lastColumn="0" w:lastRow="0" w:noHBand="0" w:noVBand="1" w:val="04A0"/>
      </w:tblPr>
      <w:tblGrid>
        <w:gridCol w:w="2295"/>
        <w:gridCol w:w="2295"/>
        <w:gridCol w:w="2295"/>
        <w:gridCol w:w="2295"/>
      </w:tblGrid>
      <w:tr>
        <w:tc>
          <w:tcPr>
            <w:tcW w:type="dxa" w:w="2295"/>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color w:val="FFFFFF"/>
                <w:sz w:val="21"/>
              </w:rPr>
              <w:t>符号 / 变量名</w:t>
            </w:r>
          </w:p>
        </w:tc>
        <w:tc>
          <w:tcPr>
            <w:tcW w:type="dxa" w:w="2295"/>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color w:val="FFFFFF"/>
                <w:sz w:val="21"/>
              </w:rPr>
              <w:t>含义</w:t>
            </w:r>
          </w:p>
        </w:tc>
        <w:tc>
          <w:tcPr>
            <w:tcW w:type="dxa" w:w="2295"/>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color w:val="FFFFFF"/>
                <w:sz w:val="21"/>
              </w:rPr>
              <w:t>默认值</w:t>
            </w:r>
          </w:p>
        </w:tc>
        <w:tc>
          <w:tcPr>
            <w:tcW w:type="dxa" w:w="2295"/>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color w:val="FFFFFF"/>
                <w:sz w:val="21"/>
              </w:rPr>
              <w:t>单位</w:t>
            </w:r>
          </w:p>
        </w:tc>
      </w:tr>
      <w:tr>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lambda_WT</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风电单位投资（水电总院 2025 全国均价口径）</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410</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万元/MW</w:t>
            </w:r>
          </w:p>
        </w:tc>
      </w:tr>
      <w:tr>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lambda_PV</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光伏单位投资</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300</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万元/MW</w:t>
            </w:r>
          </w:p>
        </w:tc>
      </w:tr>
      <w:tr>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lambda_ST</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储能单位投资</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80</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万元/MWh</w:t>
            </w:r>
          </w:p>
        </w:tc>
      </w:tr>
      <w:tr>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lambda_GD</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并网变压器单位投资</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12</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万元/MW</w:t>
            </w:r>
          </w:p>
        </w:tc>
      </w:tr>
      <w:tr>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mu_TL（ν）</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绿电直连专线单位造价</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100</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万元/km</w:t>
            </w:r>
          </w:p>
        </w:tc>
      </w:tr>
      <w:tr>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D</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专线距离</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50</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km</w:t>
            </w:r>
          </w:p>
        </w:tc>
      </w:tr>
      <w:tr>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a_PV</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光伏占地强度（约 1.1 MW / 12 亩）</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12/1.1</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亩/MW</w:t>
            </w:r>
          </w:p>
        </w:tc>
      </w:tr>
      <w:tr>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S_PV_MAX</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光伏可用地上限（1 km²）</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1500</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亩</w:t>
            </w:r>
          </w:p>
        </w:tc>
      </w:tr>
    </w:tbl>
    <w:p>
      <w:pPr>
        <w:spacing w:after="80"/>
      </w:pPr>
    </w:p>
    <w:p>
      <w:pPr>
        <w:spacing w:after="120" w:before="0" w:line="360" w:lineRule="auto"/>
        <w:ind w:firstLine="420"/>
      </w:pPr>
      <w:r>
        <w:rPr>
          <w:rFonts w:ascii="Times New Roman" w:hAnsi="Times New Roman" w:eastAsia="宋体" w:cs="Times New Roman"/>
          <w:b w:val="0"/>
          <w:sz w:val="24"/>
        </w:rPr>
        <w:t>占地约束 a_PV × x_PV ≤ S_PV_MAX，对应光伏装机上限约 137.5 MW。</w:t>
      </w:r>
    </w:p>
    <w:p>
      <w:pPr>
        <w:pStyle w:val="Heading2"/>
        <w:spacing w:before="160" w:after="120"/>
        <w:ind w:firstLine="0"/>
      </w:pPr>
      <w:r>
        <w:rPr>
          <w:rFonts w:ascii="Arial" w:hAnsi="Arial" w:eastAsia="黑体" w:cs="Arial"/>
          <w:b/>
          <w:color w:val="1F4E79"/>
          <w:sz w:val="28"/>
        </w:rPr>
        <w:t>4.3 电价（宁夏 110 kV 两部制工商业口径）</w:t>
      </w:r>
    </w:p>
    <w:tbl>
      <w:tblPr>
        <w:tblW w:type="auto" w:w="0"/>
        <w:jc w:val="center"/>
        <w:tblLayout w:type="autofit"/>
        <w:tblLook w:firstColumn="1" w:firstRow="1" w:lastColumn="0" w:lastRow="0" w:noHBand="0" w:noVBand="1" w:val="04A0"/>
      </w:tblPr>
      <w:tblGrid>
        <w:gridCol w:w="2295"/>
        <w:gridCol w:w="2295"/>
        <w:gridCol w:w="2295"/>
        <w:gridCol w:w="2295"/>
      </w:tblGrid>
      <w:tr>
        <w:tc>
          <w:tcPr>
            <w:tcW w:type="dxa" w:w="2295"/>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color w:val="FFFFFF"/>
                <w:sz w:val="21"/>
              </w:rPr>
              <w:t>符号 / 变量名</w:t>
            </w:r>
          </w:p>
        </w:tc>
        <w:tc>
          <w:tcPr>
            <w:tcW w:type="dxa" w:w="2295"/>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color w:val="FFFFFF"/>
                <w:sz w:val="21"/>
              </w:rPr>
              <w:t>含义</w:t>
            </w:r>
          </w:p>
        </w:tc>
        <w:tc>
          <w:tcPr>
            <w:tcW w:type="dxa" w:w="2295"/>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color w:val="FFFFFF"/>
                <w:sz w:val="21"/>
              </w:rPr>
              <w:t>默认（模型内部）</w:t>
            </w:r>
          </w:p>
        </w:tc>
        <w:tc>
          <w:tcPr>
            <w:tcW w:type="dxa" w:w="2295"/>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color w:val="FFFFFF"/>
                <w:sz w:val="21"/>
              </w:rPr>
              <w:t>常用对照</w:t>
            </w:r>
          </w:p>
        </w:tc>
      </w:tr>
      <w:tr>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mu_DC</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需量（容量）电价</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2.56 万元/MW/月</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25.6 元/kW·月</w:t>
            </w:r>
          </w:p>
        </w:tc>
      </w:tr>
      <w:tr>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mu_ED</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电度输配电价</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0.0060 万元/MWh</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0.060 元/kWh</w:t>
            </w:r>
          </w:p>
        </w:tc>
      </w:tr>
      <w:tr>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mu_EO</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系统运行费折价</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0.0039 万元/MWh</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0.039 元/kWh</w:t>
            </w:r>
          </w:p>
        </w:tc>
      </w:tr>
      <w:tr>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mu_EL</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上网环节线损折价</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0.00071 万元/MWh</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约 0.0071 元/kWh</w:t>
            </w:r>
          </w:p>
        </w:tc>
      </w:tr>
      <w:tr>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mu_EG</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政府性基金及附加</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0.00213 万元/MWh</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0.0213 元/kWh</w:t>
            </w:r>
          </w:p>
        </w:tc>
      </w:tr>
      <w:tr>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mu_EB</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网购电能量价格（不含输配与基金）</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0.05 万元/MWh</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0.50 元/kWh</w:t>
            </w:r>
          </w:p>
        </w:tc>
      </w:tr>
      <w:tr>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mu_PV / mu_WT</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风光自发自用内部转移价</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0.02595 万元/MWh</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0.2595 元/kWh</w:t>
            </w:r>
          </w:p>
        </w:tc>
      </w:tr>
      <w:tr>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mu_ES_t</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余电上网电价（峰/平/谷）</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0.045 / 0.035 / 0.025</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0.45 / 0.35 / 0.25 元/kWh</w:t>
            </w:r>
          </w:p>
        </w:tc>
      </w:tr>
      <w:tr>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L_bar</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容量电费公式中的平均负荷率</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0.6</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无量纲</w:t>
            </w:r>
          </w:p>
        </w:tc>
      </w:tr>
      <w:tr>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M</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年月份数（容量电费）</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12</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月</w:t>
            </w:r>
          </w:p>
        </w:tc>
      </w:tr>
    </w:tbl>
    <w:p>
      <w:pPr>
        <w:spacing w:after="80"/>
      </w:pPr>
    </w:p>
    <w:p>
      <w:pPr>
        <w:pStyle w:val="Heading2"/>
        <w:spacing w:before="160" w:after="120"/>
        <w:ind w:firstLine="0"/>
      </w:pPr>
      <w:r>
        <w:rPr>
          <w:rFonts w:ascii="Arial" w:hAnsi="Arial" w:eastAsia="黑体" w:cs="Arial"/>
          <w:b/>
          <w:color w:val="1F4E79"/>
          <w:sz w:val="28"/>
        </w:rPr>
        <w:t>4.4 经济与政策</w:t>
      </w:r>
    </w:p>
    <w:tbl>
      <w:tblPr>
        <w:tblW w:type="auto" w:w="0"/>
        <w:jc w:val="center"/>
        <w:tblLayout w:type="autofit"/>
        <w:tblLook w:firstColumn="1" w:firstRow="1" w:lastColumn="0" w:lastRow="0" w:noHBand="0" w:noVBand="1" w:val="04A0"/>
      </w:tblPr>
      <w:tblGrid>
        <w:gridCol w:w="2295"/>
        <w:gridCol w:w="2295"/>
        <w:gridCol w:w="2295"/>
        <w:gridCol w:w="2295"/>
      </w:tblGrid>
      <w:tr>
        <w:tc>
          <w:tcPr>
            <w:tcW w:type="dxa" w:w="2295"/>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color w:val="FFFFFF"/>
                <w:sz w:val="21"/>
              </w:rPr>
              <w:t>符号 / 变量名</w:t>
            </w:r>
          </w:p>
        </w:tc>
        <w:tc>
          <w:tcPr>
            <w:tcW w:type="dxa" w:w="2295"/>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color w:val="FFFFFF"/>
                <w:sz w:val="21"/>
              </w:rPr>
              <w:t>含义</w:t>
            </w:r>
          </w:p>
        </w:tc>
        <w:tc>
          <w:tcPr>
            <w:tcW w:type="dxa" w:w="2295"/>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color w:val="FFFFFF"/>
                <w:sz w:val="21"/>
              </w:rPr>
              <w:t>默认值</w:t>
            </w:r>
          </w:p>
        </w:tc>
        <w:tc>
          <w:tcPr>
            <w:tcW w:type="dxa" w:w="2295"/>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color w:val="FFFFFF"/>
                <w:sz w:val="21"/>
              </w:rPr>
              <w:t>单位 / 备注</w:t>
            </w:r>
          </w:p>
        </w:tc>
      </w:tr>
      <w:tr>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discount_rate</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贴现率 r</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8%</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w:t>
            </w:r>
          </w:p>
        </w:tc>
      </w:tr>
      <w:tr>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project_life</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项目寿命 n</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15</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年</w:t>
            </w:r>
          </w:p>
        </w:tc>
      </w:tr>
      <w:tr>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R / CRF</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资本回收系数 r(1+r)^n/[(1+r)^n−1]</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约 0.1168</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--r0 时置 0</w:t>
            </w:r>
          </w:p>
        </w:tc>
      </w:tr>
      <w:tr>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phi</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自发自用 / 可用发电量 下限</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0.6</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政策常用 ≥60%</w:t>
            </w:r>
          </w:p>
        </w:tc>
      </w:tr>
      <w:tr>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psi</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余电上网 / 可用发电量 上限</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0.20</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w:t>
            </w:r>
          </w:p>
        </w:tc>
      </w:tr>
      <w:tr>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theta</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新能源发电量 / 用电量 下限</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0.30</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w:t>
            </w:r>
          </w:p>
        </w:tc>
      </w:tr>
      <w:tr>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Theta_PV</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光伏年等效利用小时（导入后按实测更新）</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目标 1500，实测覆盖</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h</w:t>
            </w:r>
          </w:p>
        </w:tc>
      </w:tr>
      <w:tr>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Theta_WT</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风电年等效利用小时（导入后按标定更新）</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目标 1800</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h</w:t>
            </w:r>
          </w:p>
        </w:tc>
      </w:tr>
    </w:tbl>
    <w:p>
      <w:pPr>
        <w:spacing w:after="80"/>
      </w:pPr>
    </w:p>
    <w:p>
      <w:pPr>
        <w:spacing w:after="120" w:before="0" w:line="360" w:lineRule="auto"/>
        <w:ind w:firstLine="420"/>
      </w:pPr>
      <w:r>
        <w:rPr>
          <w:rFonts w:ascii="Times New Roman" w:hAnsi="Times New Roman" w:eastAsia="宋体" w:cs="Times New Roman"/>
          <w:b w:val="0"/>
          <w:sz w:val="24"/>
        </w:rPr>
        <w:t>可用发电量 avail_re = x_PV×Θ_PV + x_WT×Θ_WT，是 φ、ψ 的分母，表示按资源小时数折算的年可发电量，不是实际发电量。实际发电量允许弃风弃光，因此通常略小于 avail_re。</w:t>
      </w:r>
    </w:p>
    <w:p>
      <w:pPr>
        <w:pStyle w:val="Heading2"/>
        <w:spacing w:before="160" w:after="120"/>
        <w:ind w:firstLine="0"/>
      </w:pPr>
      <w:r>
        <w:rPr>
          <w:rFonts w:ascii="Arial" w:hAnsi="Arial" w:eastAsia="黑体" w:cs="Arial"/>
          <w:b/>
          <w:color w:val="1F4E79"/>
          <w:sz w:val="28"/>
        </w:rPr>
        <w:t>4.5 储能</w:t>
      </w:r>
    </w:p>
    <w:tbl>
      <w:tblPr>
        <w:tblW w:type="auto" w:w="0"/>
        <w:jc w:val="center"/>
        <w:tblLayout w:type="autofit"/>
        <w:tblLook w:firstColumn="1" w:firstRow="1" w:lastColumn="0" w:lastRow="0" w:noHBand="0" w:noVBand="1" w:val="04A0"/>
      </w:tblPr>
      <w:tblGrid>
        <w:gridCol w:w="2295"/>
        <w:gridCol w:w="2295"/>
        <w:gridCol w:w="2295"/>
        <w:gridCol w:w="2295"/>
      </w:tblGrid>
      <w:tr>
        <w:tc>
          <w:tcPr>
            <w:tcW w:type="dxa" w:w="2295"/>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color w:val="FFFFFF"/>
                <w:sz w:val="21"/>
              </w:rPr>
              <w:t>符号 / 变量名</w:t>
            </w:r>
          </w:p>
        </w:tc>
        <w:tc>
          <w:tcPr>
            <w:tcW w:type="dxa" w:w="2295"/>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color w:val="FFFFFF"/>
                <w:sz w:val="21"/>
              </w:rPr>
              <w:t>含义</w:t>
            </w:r>
          </w:p>
        </w:tc>
        <w:tc>
          <w:tcPr>
            <w:tcW w:type="dxa" w:w="2295"/>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color w:val="FFFFFF"/>
                <w:sz w:val="21"/>
              </w:rPr>
              <w:t>默认值</w:t>
            </w:r>
          </w:p>
        </w:tc>
        <w:tc>
          <w:tcPr>
            <w:tcW w:type="dxa" w:w="2295"/>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color w:val="FFFFFF"/>
                <w:sz w:val="21"/>
              </w:rPr>
              <w:t>单位</w:t>
            </w:r>
          </w:p>
        </w:tc>
      </w:tr>
      <w:tr>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eta_ch</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充电效率</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0.95</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w:t>
            </w:r>
          </w:p>
        </w:tc>
      </w:tr>
      <w:tr>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eta_dis</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放电效率</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0.95</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w:t>
            </w:r>
          </w:p>
        </w:tc>
      </w:tr>
      <w:tr>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E_init</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初始储能能量</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0</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MWh</w:t>
            </w:r>
          </w:p>
        </w:tc>
      </w:tr>
      <w:tr>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P_ST_MAX_C</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最大充电功率</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50</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MW</w:t>
            </w:r>
          </w:p>
        </w:tc>
      </w:tr>
      <w:tr>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P_ST_MAX_D</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最大放电功率</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50</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MW</w:t>
            </w:r>
          </w:p>
        </w:tc>
      </w:tr>
      <w:tr>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E_eps</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能量严格大于 0 的数值松弛</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1e-4</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MWh</w:t>
            </w:r>
          </w:p>
        </w:tc>
      </w:tr>
    </w:tbl>
    <w:p>
      <w:pPr>
        <w:spacing w:after="80"/>
      </w:pPr>
    </w:p>
    <w:p>
      <w:pPr>
        <w:pStyle w:val="Heading2"/>
        <w:spacing w:before="160" w:after="120"/>
        <w:ind w:firstLine="0"/>
      </w:pPr>
      <w:r>
        <w:rPr>
          <w:rFonts w:ascii="Arial" w:hAnsi="Arial" w:eastAsia="黑体" w:cs="Arial"/>
          <w:b/>
          <w:color w:val="1F4E79"/>
          <w:sz w:val="28"/>
        </w:rPr>
        <w:t>4.6 时序输入（长度均为 T）</w:t>
      </w:r>
    </w:p>
    <w:tbl>
      <w:tblPr>
        <w:tblW w:type="auto" w:w="0"/>
        <w:jc w:val="center"/>
        <w:tblLayout w:type="autofit"/>
        <w:tblLook w:firstColumn="1" w:firstRow="1" w:lastColumn="0" w:lastRow="0" w:noHBand="0" w:noVBand="1" w:val="04A0"/>
      </w:tblPr>
      <w:tblGrid>
        <w:gridCol w:w="3060"/>
        <w:gridCol w:w="3060"/>
        <w:gridCol w:w="3060"/>
      </w:tblGrid>
      <w:tr>
        <w:tc>
          <w:tcPr>
            <w:tcW w:type="dxa" w:w="3060"/>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color w:val="FFFFFF"/>
                <w:sz w:val="21"/>
              </w:rPr>
              <w:t>变量名</w:t>
            </w:r>
          </w:p>
        </w:tc>
        <w:tc>
          <w:tcPr>
            <w:tcW w:type="dxa" w:w="3060"/>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color w:val="FFFFFF"/>
                <w:sz w:val="21"/>
              </w:rPr>
              <w:t>含义</w:t>
            </w:r>
          </w:p>
        </w:tc>
        <w:tc>
          <w:tcPr>
            <w:tcW w:type="dxa" w:w="3060"/>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color w:val="FFFFFF"/>
                <w:sz w:val="21"/>
              </w:rPr>
              <w:t>单位</w:t>
            </w:r>
          </w:p>
        </w:tc>
      </w:tr>
      <w:tr>
        <w:tc>
          <w:tcPr>
            <w:tcW w:type="dxa" w:w="3060"/>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alpha_PV_t</w:t>
            </w:r>
          </w:p>
        </w:tc>
        <w:tc>
          <w:tcPr>
            <w:tcW w:type="dxa" w:w="3060"/>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光伏容量因子，p_PV,t ≤ α_PV,t × x_PV</w:t>
            </w:r>
          </w:p>
        </w:tc>
        <w:tc>
          <w:tcPr>
            <w:tcW w:type="dxa" w:w="3060"/>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0–1</w:t>
            </w:r>
          </w:p>
        </w:tc>
      </w:tr>
      <w:tr>
        <w:tc>
          <w:tcPr>
            <w:tcW w:type="dxa" w:w="3060"/>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alpha_WT_t</w:t>
            </w:r>
          </w:p>
        </w:tc>
        <w:tc>
          <w:tcPr>
            <w:tcW w:type="dxa" w:w="3060"/>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风电容量因子，p_WT,t ≤ α_WT,t × x_WT</w:t>
            </w:r>
          </w:p>
        </w:tc>
        <w:tc>
          <w:tcPr>
            <w:tcW w:type="dxa" w:w="3060"/>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0–1</w:t>
            </w:r>
          </w:p>
        </w:tc>
      </w:tr>
      <w:tr>
        <w:tc>
          <w:tcPr>
            <w:tcW w:type="dxa" w:w="3060"/>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mu_PV_t / mu_WT_t</w:t>
            </w:r>
          </w:p>
        </w:tc>
        <w:tc>
          <w:tcPr>
            <w:tcW w:type="dxa" w:w="3060"/>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风光转移电价时序（默认常数）</w:t>
            </w:r>
          </w:p>
        </w:tc>
        <w:tc>
          <w:tcPr>
            <w:tcW w:type="dxa" w:w="3060"/>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万元/MWh</w:t>
            </w:r>
          </w:p>
        </w:tc>
      </w:tr>
      <w:tr>
        <w:tc>
          <w:tcPr>
            <w:tcW w:type="dxa" w:w="3060"/>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mu_EB_t</w:t>
            </w:r>
          </w:p>
        </w:tc>
        <w:tc>
          <w:tcPr>
            <w:tcW w:type="dxa" w:w="3060"/>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网购电能量价时序（默认常数）</w:t>
            </w:r>
          </w:p>
        </w:tc>
        <w:tc>
          <w:tcPr>
            <w:tcW w:type="dxa" w:w="3060"/>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万元/MWh</w:t>
            </w:r>
          </w:p>
        </w:tc>
      </w:tr>
      <w:tr>
        <w:tc>
          <w:tcPr>
            <w:tcW w:type="dxa" w:w="3060"/>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mu_ES_t（mu_MKT_t）</w:t>
            </w:r>
          </w:p>
        </w:tc>
        <w:tc>
          <w:tcPr>
            <w:tcW w:type="dxa" w:w="3060"/>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余电上网电价时序</w:t>
            </w:r>
          </w:p>
        </w:tc>
        <w:tc>
          <w:tcPr>
            <w:tcW w:type="dxa" w:w="3060"/>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万元/MWh</w:t>
            </w:r>
          </w:p>
        </w:tc>
      </w:tr>
      <w:tr>
        <w:tc>
          <w:tcPr>
            <w:tcW w:type="dxa" w:w="3060"/>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mu_EO_t / mu_EL_t / mu_EG_t</w:t>
            </w:r>
          </w:p>
        </w:tc>
        <w:tc>
          <w:tcPr>
            <w:tcW w:type="dxa" w:w="3060"/>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运行费、线损、基金时序（默认常数）</w:t>
            </w:r>
          </w:p>
        </w:tc>
        <w:tc>
          <w:tcPr>
            <w:tcW w:type="dxa" w:w="3060"/>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万元/MWh</w:t>
            </w:r>
          </w:p>
        </w:tc>
      </w:tr>
    </w:tbl>
    <w:p>
      <w:pPr>
        <w:spacing w:after="80"/>
      </w:pPr>
    </w:p>
    <w:p>
      <w:pPr>
        <w:pStyle w:val="Heading1"/>
        <w:spacing w:before="240" w:after="120"/>
        <w:ind w:firstLine="0"/>
      </w:pPr>
      <w:r>
        <w:rPr>
          <w:rFonts w:ascii="Arial" w:hAnsi="Arial" w:eastAsia="黑体" w:cs="Arial"/>
          <w:b/>
          <w:color w:val="1F4E79"/>
          <w:sz w:val="32"/>
        </w:rPr>
        <w:t>5 模型内部决策变量</w:t>
      </w:r>
    </w:p>
    <w:p>
      <w:pPr>
        <w:spacing w:after="120" w:before="0" w:line="360" w:lineRule="auto"/>
        <w:ind w:firstLine="420"/>
      </w:pPr>
      <w:r>
        <w:rPr>
          <w:rFonts w:ascii="Times New Roman" w:hAnsi="Times New Roman" w:eastAsia="宋体" w:cs="Times New Roman"/>
          <w:b w:val="0"/>
          <w:sz w:val="24"/>
        </w:rPr>
        <w:t>下列变量由求解器决定，容量类出现在 optimization_results.txt，运行类按小时写入 timeseries_results.csv。</w:t>
      </w:r>
    </w:p>
    <w:tbl>
      <w:tblPr>
        <w:tblW w:type="auto" w:w="0"/>
        <w:jc w:val="center"/>
        <w:tblLayout w:type="autofit"/>
        <w:tblLook w:firstColumn="1" w:firstRow="1" w:lastColumn="0" w:lastRow="0" w:noHBand="0" w:noVBand="1" w:val="04A0"/>
      </w:tblPr>
      <w:tblGrid>
        <w:gridCol w:w="2295"/>
        <w:gridCol w:w="2295"/>
        <w:gridCol w:w="2295"/>
        <w:gridCol w:w="2295"/>
      </w:tblGrid>
      <w:tr>
        <w:tc>
          <w:tcPr>
            <w:tcW w:type="dxa" w:w="2295"/>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color w:val="FFFFFF"/>
                <w:sz w:val="21"/>
              </w:rPr>
              <w:t>变量</w:t>
            </w:r>
          </w:p>
        </w:tc>
        <w:tc>
          <w:tcPr>
            <w:tcW w:type="dxa" w:w="2295"/>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color w:val="FFFFFF"/>
                <w:sz w:val="21"/>
              </w:rPr>
              <w:t>含义</w:t>
            </w:r>
          </w:p>
        </w:tc>
        <w:tc>
          <w:tcPr>
            <w:tcW w:type="dxa" w:w="2295"/>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color w:val="FFFFFF"/>
                <w:sz w:val="21"/>
              </w:rPr>
              <w:t>单位</w:t>
            </w:r>
          </w:p>
        </w:tc>
        <w:tc>
          <w:tcPr>
            <w:tcW w:type="dxa" w:w="2295"/>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color w:val="FFFFFF"/>
                <w:sz w:val="21"/>
              </w:rPr>
              <w:t>出现位置</w:t>
            </w:r>
          </w:p>
        </w:tc>
      </w:tr>
      <w:tr>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x_WT</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风电装机</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MW</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结果文本 Optimal Capacities</w:t>
            </w:r>
          </w:p>
        </w:tc>
      </w:tr>
      <w:tr>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x_PV</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光伏装机</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MW</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同上</w:t>
            </w:r>
          </w:p>
        </w:tc>
      </w:tr>
      <w:tr>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x_ST</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储能能量容量</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MWh</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同上</w:t>
            </w:r>
          </w:p>
        </w:tc>
      </w:tr>
      <w:tr>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x_GD</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并网变压器容量</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MW</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同上；可由 --x-gd 固定</w:t>
            </w:r>
          </w:p>
        </w:tc>
      </w:tr>
      <w:tr>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p_WT,t</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t 时段风电实际出力</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MW</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CSV 列 P_WT</w:t>
            </w:r>
          </w:p>
        </w:tc>
      </w:tr>
      <w:tr>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p_PV,t</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t 时段光伏实际出力</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MW</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CSV 列 P_PV</w:t>
            </w:r>
          </w:p>
        </w:tc>
      </w:tr>
      <w:tr>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w_ST_C,t</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t 时段有效充电功率（已含充放互斥）</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MW</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CSV 列 P_ST_Charge</w:t>
            </w:r>
          </w:p>
        </w:tc>
      </w:tr>
      <w:tr>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w_ST_D,t</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t 时段有效放电功率</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MW</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CSV 列 P_ST_Discharge</w:t>
            </w:r>
          </w:p>
        </w:tc>
      </w:tr>
      <w:tr>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E_t</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t 时刻储能能量；SOC=E/x_ST</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MWh</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CSV 列 SOC</w:t>
            </w:r>
          </w:p>
        </w:tc>
      </w:tr>
      <w:tr>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p_GD,t</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t 时段向电网购电</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MW</w:t>
            </w:r>
          </w:p>
        </w:tc>
        <w:tc>
          <w:tcPr>
            <w:tcW w:type="dxa" w:w="2295"/>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CSV 列 P_Grid_Buy</w:t>
            </w:r>
          </w:p>
        </w:tc>
      </w:tr>
      <w:tr>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p_GD_U,t</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t 时段余电上网</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MW</w:t>
            </w:r>
          </w:p>
        </w:tc>
        <w:tc>
          <w:tcPr>
            <w:tcW w:type="dxa" w:w="2295"/>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CSV 列 P_Grid_Sell</w:t>
            </w:r>
          </w:p>
        </w:tc>
      </w:tr>
    </w:tbl>
    <w:p>
      <w:pPr>
        <w:spacing w:after="80"/>
      </w:pPr>
    </w:p>
    <w:p>
      <w:pPr>
        <w:spacing w:after="120" w:before="0" w:line="360" w:lineRule="auto"/>
        <w:ind w:firstLine="420"/>
      </w:pPr>
      <w:r>
        <w:rPr>
          <w:rFonts w:ascii="Times New Roman" w:hAnsi="Times New Roman" w:eastAsia="宋体" w:cs="Times New Roman"/>
          <w:b w:val="0"/>
          <w:sz w:val="24"/>
        </w:rPr>
        <w:t>功率平衡：p_WT + p_PV − 充电 + 放电 + 购电 − 上网 = 负荷。同一小时不能同时购电与上网，也不能同时充电与放电。</w:t>
      </w:r>
    </w:p>
    <w:p>
      <w:pPr>
        <w:pStyle w:val="Heading1"/>
        <w:spacing w:before="240" w:after="120"/>
        <w:ind w:firstLine="0"/>
      </w:pPr>
      <w:r>
        <w:rPr>
          <w:rFonts w:ascii="Arial" w:hAnsi="Arial" w:eastAsia="黑体" w:cs="Arial"/>
          <w:b/>
          <w:color w:val="1F4E79"/>
          <w:sz w:val="32"/>
        </w:rPr>
        <w:t>6 典型输出格式与字段含义</w:t>
      </w:r>
    </w:p>
    <w:p>
      <w:pPr>
        <w:pStyle w:val="Heading2"/>
        <w:spacing w:before="160" w:after="120"/>
        <w:ind w:firstLine="0"/>
      </w:pPr>
      <w:r>
        <w:rPr>
          <w:rFonts w:ascii="Arial" w:hAnsi="Arial" w:eastAsia="黑体" w:cs="Arial"/>
          <w:b/>
          <w:color w:val="1F4E79"/>
          <w:sz w:val="28"/>
        </w:rPr>
        <w:t>6.1 optimization_results.txt</w:t>
      </w:r>
    </w:p>
    <w:p>
      <w:pPr>
        <w:spacing w:after="120" w:before="0" w:line="360" w:lineRule="auto"/>
        <w:ind w:firstLine="420"/>
      </w:pPr>
      <w:r>
        <w:rPr>
          <w:rFonts w:ascii="Times New Roman" w:hAnsi="Times New Roman" w:eastAsia="宋体" w:cs="Times New Roman"/>
          <w:b w:val="0"/>
          <w:sz w:val="24"/>
        </w:rPr>
        <w:t>下面是一份典型文本结构（数值为示意）。每一行的含义见随后表格。</w:t>
      </w:r>
    </w:p>
    <w:p>
      <w:pPr>
        <w:spacing w:before="80" w:after="160" w:line="276" w:lineRule="auto"/>
        <w:ind w:firstLine="0"/>
        <w:shd w:fill="F2F2F2" w:val="clear"/>
      </w:pPr>
      <w:r>
        <w:rPr>
          <w:rFonts w:ascii="Consolas" w:hAnsi="Consolas" w:eastAsia="宋体" w:cs="Consolas"/>
          <w:b w:val="0"/>
          <w:sz w:val="19"/>
        </w:rPr>
        <w:t>============================================================</w:t>
        <w:br/>
        <w:t xml:space="preserve"> Optimization Terminated! Status: OPTIMAL</w:t>
        <w:br/>
        <w:t xml:space="preserve"> Total Annualized Objective: 17891.57 万元/年</w:t>
        <w:br/>
        <w:t>============================================================</w:t>
        <w:br/>
        <w:t xml:space="preserve"> [Optimal Capacities] </w:t>
        <w:br/>
        <w:t xml:space="preserve"> - Wind Power (x_WT): 43.12 MW</w:t>
        <w:br/>
        <w:t xml:space="preserve"> - Photovoltaic (x_PV): 137.50 MW</w:t>
        <w:br/>
        <w:t xml:space="preserve"> - Energy Storage (x_ST): 218.93 MWh</w:t>
        <w:br/>
        <w:t xml:space="preserve"> - Grid Transformer (x_GD): 60.00 MW</w:t>
        <w:br/>
        <w:br/>
        <w:t xml:space="preserve"> [Cost Breakdown - Real Prices] </w:t>
        <w:br/>
        <w:t xml:space="preserve"> - Equipment Investment (one-time): 77165.01 万元</w:t>
        <w:br/>
        <w:t xml:space="preserve"> - Direct Connection Cost (one-time): 5000.00 万元</w:t>
        <w:br/>
        <w:t xml:space="preserve"> - Annual Grid Demand Charge: 3735.36 万元/年</w:t>
        <w:br/>
        <w:t xml:space="preserve"> - Annual Energy/Tariff Cost (EB+EO+EL+EG+RE): 6996.11 万元/年</w:t>
        <w:br/>
        <w:t xml:space="preserve"> - Annual Grid Charge (total): 10731.47 万元/年</w:t>
        <w:br/>
        <w:t xml:space="preserve"> - Annual Market Revenue: 2439.21 万元/年</w:t>
        <w:br/>
        <w:t xml:space="preserve"> - Unit Electricity Cost (CRF 8%/15yr): 0.5206 元/kWh</w:t>
        <w:br/>
        <w:br/>
        <w:t xml:space="preserve"> [Policy Ratios] </w:t>
        <w:br/>
        <w:t xml:space="preserve"> - 余电上网比例 (sum_gd_u/avail_re): 0.2000</w:t>
        <w:br/>
        <w:t xml:space="preserve"> - 自发自用比例 ((sum_re-sum_gd_u)/avail_re): 0.7995</w:t>
        <w:br/>
        <w:t xml:space="preserve"> - 绿电使用占比 (sum_re/sum_load): 0.8689</w:t>
        <w:br/>
        <w:br/>
        <w:t xml:space="preserve"> [Energy Statistics] </w:t>
        <w:br/>
        <w:t xml:space="preserve"> - Total Renewable Generation: 298596.73 MWh</w:t>
        <w:br/>
        <w:t xml:space="preserve"> - Total Load Demand: 343659.07 MWh</w:t>
        <w:br/>
        <w:t xml:space="preserve"> - Available RE (x*Θ): 298739.81 MWh</w:t>
        <w:br/>
        <w:t xml:space="preserve"> - On-grid Export (sum_gd_u): 59747.96 MWh</w:t>
      </w:r>
    </w:p>
    <w:p>
      <w:pPr>
        <w:pStyle w:val="Heading3"/>
        <w:spacing w:before="160" w:after="120"/>
        <w:ind w:firstLine="0"/>
      </w:pPr>
      <w:r>
        <w:rPr>
          <w:rFonts w:ascii="Arial" w:hAnsi="Arial" w:eastAsia="黑体" w:cs="Arial"/>
          <w:b/>
          <w:color w:val="1F4E79"/>
          <w:sz w:val="24"/>
        </w:rPr>
        <w:t>6.1.1 求解状态与目标</w:t>
      </w:r>
    </w:p>
    <w:tbl>
      <w:tblPr>
        <w:tblW w:type="auto" w:w="0"/>
        <w:jc w:val="center"/>
        <w:tblLayout w:type="autofit"/>
        <w:tblLook w:firstColumn="1" w:firstRow="1" w:lastColumn="0" w:lastRow="0" w:noHBand="0" w:noVBand="1" w:val="04A0"/>
      </w:tblPr>
      <w:tblGrid>
        <w:gridCol w:w="4589"/>
        <w:gridCol w:w="4589"/>
      </w:tblGrid>
      <w:tr>
        <w:tc>
          <w:tcPr>
            <w:tcW w:type="dxa" w:w="4589"/>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color w:val="FFFFFF"/>
                <w:sz w:val="21"/>
              </w:rPr>
              <w:t>字段</w:t>
            </w:r>
          </w:p>
        </w:tc>
        <w:tc>
          <w:tcPr>
            <w:tcW w:type="dxa" w:w="4589"/>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color w:val="FFFFFF"/>
                <w:sz w:val="21"/>
              </w:rPr>
              <w:t>含义</w:t>
            </w:r>
          </w:p>
        </w:tc>
      </w:tr>
      <w:tr>
        <w:tc>
          <w:tcPr>
            <w:tcW w:type="dxa" w:w="4589"/>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Status</w:t>
            </w:r>
          </w:p>
        </w:tc>
        <w:tc>
          <w:tcPr>
            <w:tcW w:type="dxa" w:w="4589"/>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OPTIMAL 表示在 MIPGap 内认定最优；UNFINISHED 表示到时限仍有可行解但未证明最优；不可行时不会生成该文件，而会写 model.ilp。</w:t>
            </w:r>
          </w:p>
        </w:tc>
      </w:tr>
      <w:tr>
        <w:tc>
          <w:tcPr>
            <w:tcW w:type="dxa" w:w="4589"/>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Total Annualized Objective</w:t>
            </w:r>
          </w:p>
        </w:tc>
        <w:tc>
          <w:tcPr>
            <w:tcW w:type="dxa" w:w="4589"/>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目标函数 J，单位万元/年。含 R×投资、各类电费与基金，减去上网收益。</w:t>
            </w:r>
          </w:p>
        </w:tc>
      </w:tr>
    </w:tbl>
    <w:p>
      <w:pPr>
        <w:spacing w:after="80"/>
      </w:pPr>
    </w:p>
    <w:p>
      <w:pPr>
        <w:pStyle w:val="Heading3"/>
        <w:spacing w:before="160" w:after="120"/>
        <w:ind w:firstLine="0"/>
      </w:pPr>
      <w:r>
        <w:rPr>
          <w:rFonts w:ascii="Arial" w:hAnsi="Arial" w:eastAsia="黑体" w:cs="Arial"/>
          <w:b/>
          <w:color w:val="1F4E79"/>
          <w:sz w:val="24"/>
        </w:rPr>
        <w:t>6.1.2 Optimal Capacities（最优装机）</w:t>
      </w:r>
    </w:p>
    <w:tbl>
      <w:tblPr>
        <w:tblW w:type="auto" w:w="0"/>
        <w:jc w:val="center"/>
        <w:tblLayout w:type="autofit"/>
        <w:tblLook w:firstColumn="1" w:firstRow="1" w:lastColumn="0" w:lastRow="0" w:noHBand="0" w:noVBand="1" w:val="04A0"/>
      </w:tblPr>
      <w:tblGrid>
        <w:gridCol w:w="4589"/>
        <w:gridCol w:w="4589"/>
      </w:tblGrid>
      <w:tr>
        <w:tc>
          <w:tcPr>
            <w:tcW w:type="dxa" w:w="4589"/>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color w:val="FFFFFF"/>
                <w:sz w:val="21"/>
              </w:rPr>
              <w:t>字段</w:t>
            </w:r>
          </w:p>
        </w:tc>
        <w:tc>
          <w:tcPr>
            <w:tcW w:type="dxa" w:w="4589"/>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color w:val="FFFFFF"/>
                <w:sz w:val="21"/>
              </w:rPr>
              <w:t>含义</w:t>
            </w:r>
          </w:p>
        </w:tc>
      </w:tr>
      <w:tr>
        <w:tc>
          <w:tcPr>
            <w:tcW w:type="dxa" w:w="4589"/>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Wind Power (x_WT)</w:t>
            </w:r>
          </w:p>
        </w:tc>
        <w:tc>
          <w:tcPr>
            <w:tcW w:type="dxa" w:w="4589"/>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风电装机容量，MW。</w:t>
            </w:r>
          </w:p>
        </w:tc>
      </w:tr>
      <w:tr>
        <w:tc>
          <w:tcPr>
            <w:tcW w:type="dxa" w:w="4589"/>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Photovoltaic (x_PV)</w:t>
            </w:r>
          </w:p>
        </w:tc>
        <w:tc>
          <w:tcPr>
            <w:tcW w:type="dxa" w:w="4589"/>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光伏装机容量，MW。常顶到占地上限 137.5 MW。</w:t>
            </w:r>
          </w:p>
        </w:tc>
      </w:tr>
      <w:tr>
        <w:tc>
          <w:tcPr>
            <w:tcW w:type="dxa" w:w="4589"/>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Energy Storage (x_ST)</w:t>
            </w:r>
          </w:p>
        </w:tc>
        <w:tc>
          <w:tcPr>
            <w:tcW w:type="dxa" w:w="4589"/>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储能能量容量，MWh（不是功率；充放功率上限由 P_ST_MAX 给出）。</w:t>
            </w:r>
          </w:p>
        </w:tc>
      </w:tr>
      <w:tr>
        <w:tc>
          <w:tcPr>
            <w:tcW w:type="dxa" w:w="4589"/>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Grid Transformer (x_GD)</w:t>
            </w:r>
          </w:p>
        </w:tc>
        <w:tc>
          <w:tcPr>
            <w:tcW w:type="dxa" w:w="4589"/>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并网变压器容量，MW。若命令行 --x-gd&gt;0，则等于该固定值。</w:t>
            </w:r>
          </w:p>
        </w:tc>
      </w:tr>
    </w:tbl>
    <w:p>
      <w:pPr>
        <w:spacing w:after="80"/>
      </w:pPr>
    </w:p>
    <w:p>
      <w:pPr>
        <w:pStyle w:val="Heading3"/>
        <w:spacing w:before="160" w:after="120"/>
        <w:ind w:firstLine="0"/>
      </w:pPr>
      <w:r>
        <w:rPr>
          <w:rFonts w:ascii="Arial" w:hAnsi="Arial" w:eastAsia="黑体" w:cs="Arial"/>
          <w:b/>
          <w:color w:val="1F4E79"/>
          <w:sz w:val="24"/>
        </w:rPr>
        <w:t>6.1.3 Cost Breakdown（成本拆解）</w:t>
      </w:r>
    </w:p>
    <w:p>
      <w:pPr>
        <w:spacing w:after="120" w:before="0" w:line="360" w:lineRule="auto"/>
        <w:ind w:firstLine="420"/>
      </w:pPr>
      <w:r>
        <w:rPr>
          <w:rFonts w:ascii="Times New Roman" w:hAnsi="Times New Roman" w:eastAsia="宋体" w:cs="Times New Roman"/>
          <w:b w:val="0"/>
          <w:sz w:val="24"/>
        </w:rPr>
        <w:t>本节标题中的 Real Prices 表示投资与专线按一次性总价列出，尚未乘 R；进入目标函数 J 时，这两项要乘资本回收系数做年化。电费与上网收益本身已是年值。</w:t>
      </w:r>
    </w:p>
    <w:tbl>
      <w:tblPr>
        <w:tblW w:type="auto" w:w="0"/>
        <w:jc w:val="center"/>
        <w:tblLayout w:type="autofit"/>
        <w:tblLook w:firstColumn="1" w:firstRow="1" w:lastColumn="0" w:lastRow="0" w:noHBand="0" w:noVBand="1" w:val="04A0"/>
      </w:tblPr>
      <w:tblGrid>
        <w:gridCol w:w="4589"/>
        <w:gridCol w:w="4589"/>
      </w:tblGrid>
      <w:tr>
        <w:tc>
          <w:tcPr>
            <w:tcW w:type="dxa" w:w="4589"/>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color w:val="FFFFFF"/>
                <w:sz w:val="21"/>
              </w:rPr>
              <w:t>字段</w:t>
            </w:r>
          </w:p>
        </w:tc>
        <w:tc>
          <w:tcPr>
            <w:tcW w:type="dxa" w:w="4589"/>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color w:val="FFFFFF"/>
                <w:sz w:val="21"/>
              </w:rPr>
              <w:t>含义与计算</w:t>
            </w:r>
          </w:p>
        </w:tc>
      </w:tr>
      <w:tr>
        <w:tc>
          <w:tcPr>
            <w:tcW w:type="dxa" w:w="4589"/>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Equipment Investment (one-time)</w:t>
            </w:r>
          </w:p>
        </w:tc>
        <w:tc>
          <w:tcPr>
            <w:tcW w:type="dxa" w:w="4589"/>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设备一次性投资 c_inv = λ_WT x_WT + λ_PV x_PV + λ_ST x_ST + λ_GD x_GD，万元。年化进入 J 的部分为 R×c_inv。</w:t>
            </w:r>
          </w:p>
        </w:tc>
      </w:tr>
      <w:tr>
        <w:tc>
          <w:tcPr>
            <w:tcW w:type="dxa" w:w="4589"/>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Direct Connection Cost (one-time)</w:t>
            </w:r>
          </w:p>
        </w:tc>
        <w:tc>
          <w:tcPr>
            <w:tcW w:type="dxa" w:w="4589"/>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专线一次性投资 c_conn = μ_TL × D，默认 100×50=5000 万元。年化为 R×c_conn。</w:t>
            </w:r>
          </w:p>
        </w:tc>
      </w:tr>
      <w:tr>
        <w:tc>
          <w:tcPr>
            <w:tcW w:type="dxa" w:w="4589"/>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Annual Grid Demand Charge</w:t>
            </w:r>
          </w:p>
        </w:tc>
        <w:tc>
          <w:tcPr>
            <w:tcW w:type="dxa" w:w="4589"/>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年容量（需量）及与装机相关的输配固定部分：12 × (μ_DC x_GD + 730 μ_ED x_GD L̄)，万元/年。与逐时购电量无关。</w:t>
            </w:r>
          </w:p>
        </w:tc>
      </w:tr>
      <w:tr>
        <w:tc>
          <w:tcPr>
            <w:tcW w:type="dxa" w:w="4589"/>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Annual Energy/Tariff Cost (EB+EO+EL+EG+RE)</w:t>
            </w:r>
          </w:p>
        </w:tc>
        <w:tc>
          <w:tcPr>
            <w:tcW w:type="dxa" w:w="4589"/>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年电量类支出合计：网购能量价 μ_EB、运行费 μ_EO、线损 μ_EL 作用于购电量；基金 μ_EG 作用于光伏+风电+购电电量；RE 为风光内部转移价 μ_PV、μ_WT 作用于实际风光出力。万元/年。</w:t>
            </w:r>
          </w:p>
        </w:tc>
      </w:tr>
      <w:tr>
        <w:tc>
          <w:tcPr>
            <w:tcW w:type="dxa" w:w="4589"/>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Annual Grid Charge (total)</w:t>
            </w:r>
          </w:p>
        </w:tc>
        <w:tc>
          <w:tcPr>
            <w:tcW w:type="dxa" w:w="4589"/>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上两项之和：年容量费 + 年电量类支出，万元/年。</w:t>
            </w:r>
          </w:p>
        </w:tc>
      </w:tr>
      <w:tr>
        <w:tc>
          <w:tcPr>
            <w:tcW w:type="dxa" w:w="4589"/>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Annual Market Revenue</w:t>
            </w:r>
          </w:p>
        </w:tc>
        <w:tc>
          <w:tcPr>
            <w:tcW w:type="dxa" w:w="4589"/>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余电上网收益 Σ μ_ES,t × p_GD_U,t × Δ，万元/年，在目标中取负号。</w:t>
            </w:r>
          </w:p>
        </w:tc>
      </w:tr>
      <w:tr>
        <w:tc>
          <w:tcPr>
            <w:tcW w:type="dxa" w:w="4589"/>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Unit Electricity Cost</w:t>
            </w:r>
          </w:p>
        </w:tc>
        <w:tc>
          <w:tcPr>
            <w:tcW w:type="dxa" w:w="4589"/>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度电成本 c = J / 年用电量，再把万元/MWh 换成元/kWh（乘 10）。标签若为 CRF 8%/15yr，表示投资按默认寿命折现；若为 R=0, opex only，表示 --r0，投资未进 J。</w:t>
            </w:r>
          </w:p>
        </w:tc>
      </w:tr>
    </w:tbl>
    <w:p>
      <w:pPr>
        <w:spacing w:after="80"/>
      </w:pPr>
    </w:p>
    <w:p>
      <w:pPr>
        <w:spacing w:after="120" w:before="0" w:line="360" w:lineRule="auto"/>
        <w:ind w:firstLine="420"/>
      </w:pPr>
      <w:r>
        <w:rPr>
          <w:rFonts w:ascii="Times New Roman" w:hAnsi="Times New Roman" w:eastAsia="宋体" w:cs="Times New Roman"/>
          <w:b w:val="0"/>
          <w:sz w:val="24"/>
        </w:rPr>
        <w:t>因此：J = R×(设备投资 + 专线投资) + 年容量费 + 年电量类支出 − 年上网收益。不要把「一次性投资」直接与「万元/年」的目标值相加。</w:t>
      </w:r>
    </w:p>
    <w:p>
      <w:pPr>
        <w:pStyle w:val="Heading3"/>
        <w:spacing w:before="160" w:after="120"/>
        <w:ind w:firstLine="0"/>
      </w:pPr>
      <w:r>
        <w:rPr>
          <w:rFonts w:ascii="Arial" w:hAnsi="Arial" w:eastAsia="黑体" w:cs="Arial"/>
          <w:b/>
          <w:color w:val="1F4E79"/>
          <w:sz w:val="24"/>
        </w:rPr>
        <w:t>6.1.4 Policy Ratios（政策比例）</w:t>
      </w:r>
    </w:p>
    <w:tbl>
      <w:tblPr>
        <w:tblW w:type="auto" w:w="0"/>
        <w:jc w:val="center"/>
        <w:tblLayout w:type="autofit"/>
        <w:tblLook w:firstColumn="1" w:firstRow="1" w:lastColumn="0" w:lastRow="0" w:noHBand="0" w:noVBand="1" w:val="04A0"/>
      </w:tblPr>
      <w:tblGrid>
        <w:gridCol w:w="3060"/>
        <w:gridCol w:w="3060"/>
        <w:gridCol w:w="3060"/>
      </w:tblGrid>
      <w:tr>
        <w:tc>
          <w:tcPr>
            <w:tcW w:type="dxa" w:w="3060"/>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color w:val="FFFFFF"/>
                <w:sz w:val="21"/>
              </w:rPr>
              <w:t>字段</w:t>
            </w:r>
          </w:p>
        </w:tc>
        <w:tc>
          <w:tcPr>
            <w:tcW w:type="dxa" w:w="3060"/>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color w:val="FFFFFF"/>
                <w:sz w:val="21"/>
              </w:rPr>
              <w:t>公式</w:t>
            </w:r>
          </w:p>
        </w:tc>
        <w:tc>
          <w:tcPr>
            <w:tcW w:type="dxa" w:w="3060"/>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color w:val="FFFFFF"/>
                <w:sz w:val="21"/>
              </w:rPr>
              <w:t>对应约束 / 读法</w:t>
            </w:r>
          </w:p>
        </w:tc>
      </w:tr>
      <w:tr>
        <w:tc>
          <w:tcPr>
            <w:tcW w:type="dxa" w:w="3060"/>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余电上网比例</w:t>
            </w:r>
          </w:p>
        </w:tc>
        <w:tc>
          <w:tcPr>
            <w:tcW w:type="dxa" w:w="3060"/>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年上网电量 / avail_re</w:t>
            </w:r>
          </w:p>
        </w:tc>
        <w:tc>
          <w:tcPr>
            <w:tcW w:type="dxa" w:w="3060"/>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约束上限为 ψ（默认 0.20）。等于 0.20 通常表示上网约束起作用。</w:t>
            </w:r>
          </w:p>
        </w:tc>
      </w:tr>
      <w:tr>
        <w:tc>
          <w:tcPr>
            <w:tcW w:type="dxa" w:w="3060"/>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自发自用比例</w:t>
            </w:r>
          </w:p>
        </w:tc>
        <w:tc>
          <w:tcPr>
            <w:tcW w:type="dxa" w:w="3060"/>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(年风光发电 − 年上网) / avail_re</w:t>
            </w:r>
          </w:p>
        </w:tc>
        <w:tc>
          <w:tcPr>
            <w:tcW w:type="dxa" w:w="3060"/>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约束下限为 φ（默认 0.60）。分母是可用发电量而非实际发电量。</w:t>
            </w:r>
          </w:p>
        </w:tc>
      </w:tr>
      <w:tr>
        <w:tc>
          <w:tcPr>
            <w:tcW w:type="dxa" w:w="3060"/>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绿电使用占比</w:t>
            </w:r>
          </w:p>
        </w:tc>
        <w:tc>
          <w:tcPr>
            <w:tcW w:type="dxa" w:w="3060"/>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年风光发电 / 年用电量</w:t>
            </w:r>
          </w:p>
        </w:tc>
        <w:tc>
          <w:tcPr>
            <w:tcW w:type="dxa" w:w="3060"/>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约束下限为 θ（默认 0.30）。这是「发电量/负荷」，不是「负荷中本地绿电供上的比例」。</w:t>
            </w:r>
          </w:p>
        </w:tc>
      </w:tr>
    </w:tbl>
    <w:p>
      <w:pPr>
        <w:spacing w:after="80"/>
      </w:pPr>
    </w:p>
    <w:p>
      <w:pPr>
        <w:spacing w:after="120" w:before="0" w:line="360" w:lineRule="auto"/>
        <w:ind w:firstLine="420"/>
      </w:pPr>
      <w:r>
        <w:rPr>
          <w:rFonts w:ascii="Times New Roman" w:hAnsi="Times New Roman" w:eastAsia="宋体" w:cs="Times New Roman"/>
          <w:b w:val="0"/>
          <w:sz w:val="24"/>
        </w:rPr>
        <w:t>负荷中由本地绿电供上的比例应另外按 (年用电 − 年网购电量) / 年用电 计算，与「绿电使用占比」不是同一个数：前者看负荷侧自给，后者看发电量相对负荷的倍数关系。</w:t>
      </w:r>
    </w:p>
    <w:p>
      <w:pPr>
        <w:pStyle w:val="Heading3"/>
        <w:spacing w:before="160" w:after="120"/>
        <w:ind w:firstLine="0"/>
      </w:pPr>
      <w:r>
        <w:rPr>
          <w:rFonts w:ascii="Arial" w:hAnsi="Arial" w:eastAsia="黑体" w:cs="Arial"/>
          <w:b/>
          <w:color w:val="1F4E79"/>
          <w:sz w:val="24"/>
        </w:rPr>
        <w:t>6.1.5 Energy Statistics（能量统计）</w:t>
      </w:r>
    </w:p>
    <w:tbl>
      <w:tblPr>
        <w:tblW w:type="auto" w:w="0"/>
        <w:jc w:val="center"/>
        <w:tblLayout w:type="autofit"/>
        <w:tblLook w:firstColumn="1" w:firstRow="1" w:lastColumn="0" w:lastRow="0" w:noHBand="0" w:noVBand="1" w:val="04A0"/>
      </w:tblPr>
      <w:tblGrid>
        <w:gridCol w:w="4589"/>
        <w:gridCol w:w="4589"/>
      </w:tblGrid>
      <w:tr>
        <w:tc>
          <w:tcPr>
            <w:tcW w:type="dxa" w:w="4589"/>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color w:val="FFFFFF"/>
                <w:sz w:val="21"/>
              </w:rPr>
              <w:t>字段</w:t>
            </w:r>
          </w:p>
        </w:tc>
        <w:tc>
          <w:tcPr>
            <w:tcW w:type="dxa" w:w="4589"/>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color w:val="FFFFFF"/>
                <w:sz w:val="21"/>
              </w:rPr>
              <w:t>含义</w:t>
            </w:r>
          </w:p>
        </w:tc>
      </w:tr>
      <w:tr>
        <w:tc>
          <w:tcPr>
            <w:tcW w:type="dxa" w:w="4589"/>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Total Renewable Generation</w:t>
            </w:r>
          </w:p>
        </w:tc>
        <w:tc>
          <w:tcPr>
            <w:tcW w:type="dxa" w:w="4589"/>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年风光实际发电量 Σ(p_WT+p_PV)Δ，MWh。可小于可用发电量（存在弃电）。</w:t>
            </w:r>
          </w:p>
        </w:tc>
      </w:tr>
      <w:tr>
        <w:tc>
          <w:tcPr>
            <w:tcW w:type="dxa" w:w="4589"/>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Total Load Demand</w:t>
            </w:r>
          </w:p>
        </w:tc>
        <w:tc>
          <w:tcPr>
            <w:tcW w:type="dxa" w:w="4589"/>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年用电量 Σ load_t Δ，MWh。度电成本的分母。</w:t>
            </w:r>
          </w:p>
        </w:tc>
      </w:tr>
      <w:tr>
        <w:tc>
          <w:tcPr>
            <w:tcW w:type="dxa" w:w="4589"/>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Available RE (x*Θ)</w:t>
            </w:r>
          </w:p>
        </w:tc>
        <w:tc>
          <w:tcPr>
            <w:tcW w:type="dxa" w:w="4589"/>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可用发电量 x_PV Θ_PV + x_WT Θ_WT，MWh。φ、ψ 的分母。</w:t>
            </w:r>
          </w:p>
        </w:tc>
      </w:tr>
      <w:tr>
        <w:tc>
          <w:tcPr>
            <w:tcW w:type="dxa" w:w="4589"/>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On-grid Export (sum_gd_u)</w:t>
            </w:r>
          </w:p>
        </w:tc>
        <w:tc>
          <w:tcPr>
            <w:tcW w:type="dxa" w:w="4589"/>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年余电上网电量 Σ p_GD_U Δ，MWh。</w:t>
            </w:r>
          </w:p>
        </w:tc>
      </w:tr>
    </w:tbl>
    <w:p>
      <w:pPr>
        <w:spacing w:after="80"/>
      </w:pPr>
    </w:p>
    <w:p>
      <w:pPr>
        <w:pStyle w:val="Heading2"/>
        <w:spacing w:before="160" w:after="120"/>
        <w:ind w:firstLine="0"/>
      </w:pPr>
      <w:r>
        <w:rPr>
          <w:rFonts w:ascii="Arial" w:hAnsi="Arial" w:eastAsia="黑体" w:cs="Arial"/>
          <w:b/>
          <w:color w:val="1F4E79"/>
          <w:sz w:val="28"/>
        </w:rPr>
        <w:t>6.2 timeseries_results.csv</w:t>
      </w:r>
    </w:p>
    <w:p>
      <w:pPr>
        <w:spacing w:after="120" w:before="0" w:line="360" w:lineRule="auto"/>
        <w:ind w:firstLine="420"/>
      </w:pPr>
      <w:r>
        <w:rPr>
          <w:rFonts w:ascii="Times New Roman" w:hAnsi="Times New Roman" w:eastAsia="宋体" w:cs="Times New Roman"/>
          <w:b w:val="0"/>
          <w:sz w:val="24"/>
        </w:rPr>
        <w:t>共 8760 行（Hour 为 0–8759），功率单位均为 MW。充电、放电列写的是有效功率 w（已满足充放互斥）。</w:t>
      </w:r>
    </w:p>
    <w:tbl>
      <w:tblPr>
        <w:tblW w:type="auto" w:w="0"/>
        <w:jc w:val="center"/>
        <w:tblLayout w:type="autofit"/>
        <w:tblLook w:firstColumn="1" w:firstRow="1" w:lastColumn="0" w:lastRow="0" w:noHBand="0" w:noVBand="1" w:val="04A0"/>
      </w:tblPr>
      <w:tblGrid>
        <w:gridCol w:w="4589"/>
        <w:gridCol w:w="4589"/>
      </w:tblGrid>
      <w:tr>
        <w:tc>
          <w:tcPr>
            <w:tcW w:type="dxa" w:w="4589"/>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color w:val="FFFFFF"/>
                <w:sz w:val="21"/>
              </w:rPr>
              <w:t>列名</w:t>
            </w:r>
          </w:p>
        </w:tc>
        <w:tc>
          <w:tcPr>
            <w:tcW w:type="dxa" w:w="4589"/>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黑体" w:cs="Times New Roman"/>
                <w:b/>
                <w:color w:val="FFFFFF"/>
                <w:sz w:val="21"/>
              </w:rPr>
              <w:t>含义</w:t>
            </w:r>
          </w:p>
        </w:tc>
      </w:tr>
      <w:tr>
        <w:tc>
          <w:tcPr>
            <w:tcW w:type="dxa" w:w="4589"/>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Hour</w:t>
            </w:r>
          </w:p>
        </w:tc>
        <w:tc>
          <w:tcPr>
            <w:tcW w:type="dxa" w:w="4589"/>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小时序号，0 表示年初第 1 小时。</w:t>
            </w:r>
          </w:p>
        </w:tc>
      </w:tr>
      <w:tr>
        <w:tc>
          <w:tcPr>
            <w:tcW w:type="dxa" w:w="4589"/>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Load</w:t>
            </w:r>
          </w:p>
        </w:tc>
        <w:tc>
          <w:tcPr>
            <w:tcW w:type="dxa" w:w="4589"/>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该小时智算负荷，等于功率平衡右端项。</w:t>
            </w:r>
          </w:p>
        </w:tc>
      </w:tr>
      <w:tr>
        <w:tc>
          <w:tcPr>
            <w:tcW w:type="dxa" w:w="4589"/>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P_WT</w:t>
            </w:r>
          </w:p>
        </w:tc>
        <w:tc>
          <w:tcPr>
            <w:tcW w:type="dxa" w:w="4589"/>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风电实际出力，不超过 α_WT,t × x_WT。</w:t>
            </w:r>
          </w:p>
        </w:tc>
      </w:tr>
      <w:tr>
        <w:tc>
          <w:tcPr>
            <w:tcW w:type="dxa" w:w="4589"/>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P_PV</w:t>
            </w:r>
          </w:p>
        </w:tc>
        <w:tc>
          <w:tcPr>
            <w:tcW w:type="dxa" w:w="4589"/>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光伏实际出力，不超过 α_PV,t × x_PV。</w:t>
            </w:r>
          </w:p>
        </w:tc>
      </w:tr>
      <w:tr>
        <w:tc>
          <w:tcPr>
            <w:tcW w:type="dxa" w:w="4589"/>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P_ST_Charge</w:t>
            </w:r>
          </w:p>
        </w:tc>
        <w:tc>
          <w:tcPr>
            <w:tcW w:type="dxa" w:w="4589"/>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储能充电功率；与放电不同时为正。</w:t>
            </w:r>
          </w:p>
        </w:tc>
      </w:tr>
      <w:tr>
        <w:tc>
          <w:tcPr>
            <w:tcW w:type="dxa" w:w="4589"/>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P_ST_Discharge</w:t>
            </w:r>
          </w:p>
        </w:tc>
        <w:tc>
          <w:tcPr>
            <w:tcW w:type="dxa" w:w="4589"/>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储能放电功率。</w:t>
            </w:r>
          </w:p>
        </w:tc>
      </w:tr>
      <w:tr>
        <w:tc>
          <w:tcPr>
            <w:tcW w:type="dxa" w:w="4589"/>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SOC</w:t>
            </w:r>
          </w:p>
        </w:tc>
        <w:tc>
          <w:tcPr>
            <w:tcW w:type="dxa" w:w="4589"/>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荷电状态 E_t / x_ST，0–1；x_ST≈0 时记 0。</w:t>
            </w:r>
          </w:p>
        </w:tc>
      </w:tr>
      <w:tr>
        <w:tc>
          <w:tcPr>
            <w:tcW w:type="dxa" w:w="4589"/>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P_Grid_Buy</w:t>
            </w:r>
          </w:p>
        </w:tc>
        <w:tc>
          <w:tcPr>
            <w:tcW w:type="dxa" w:w="4589"/>
            <w:shd w:fill="FFFFFF"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向电网购电，不超过 x_GD；与上网互斥。</w:t>
            </w:r>
          </w:p>
        </w:tc>
      </w:tr>
      <w:tr>
        <w:tc>
          <w:tcPr>
            <w:tcW w:type="dxa" w:w="4589"/>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P_Grid_Sell</w:t>
            </w:r>
          </w:p>
        </w:tc>
        <w:tc>
          <w:tcPr>
            <w:tcW w:type="dxa" w:w="4589"/>
            <w:shd w:fill="D6E3F0" w:val="clear"/>
            <w:tcBorders>
              <w:top w:val="single" w:sz="4" w:space="0" w:color="8FAADC"/>
              <w:left w:val="single" w:sz="4" w:space="0" w:color="8FAADC"/>
              <w:bottom w:val="single" w:sz="4" w:space="0" w:color="8FAADC"/>
              <w:right w:val="single" w:sz="4" w:space="0" w:color="8FAADC"/>
            </w:tcBorders>
          </w:tcPr>
          <w:p>
            <w:pPr>
              <w:spacing w:after="0" w:before="0"/>
            </w:pPr>
            <w:r/>
            <w:r>
              <w:rPr>
                <w:rFonts w:ascii="Times New Roman" w:hAnsi="Times New Roman" w:eastAsia="宋体" w:cs="Times New Roman"/>
                <w:b w:val="0"/>
                <w:sz w:val="20"/>
              </w:rPr>
              <w:t>余电上网，不超过 x_GD。</w:t>
            </w:r>
          </w:p>
        </w:tc>
      </w:tr>
    </w:tbl>
    <w:p>
      <w:pPr>
        <w:spacing w:after="80"/>
      </w:pPr>
    </w:p>
    <w:p>
      <w:pPr>
        <w:spacing w:after="120" w:before="0" w:line="360" w:lineRule="auto"/>
        <w:ind w:firstLine="420"/>
      </w:pPr>
      <w:r>
        <w:rPr>
          <w:rFonts w:ascii="Times New Roman" w:hAnsi="Times New Roman" w:eastAsia="宋体" w:cs="Times New Roman"/>
          <w:b w:val="0"/>
          <w:sz w:val="24"/>
        </w:rPr>
        <w:t>可用该表校核任意小时：P_WT + P_PV − P_ST_Charge + P_ST_Discharge + P_Grid_Buy − P_Grid_Sell 应等于 Load。</w:t>
      </w:r>
    </w:p>
    <w:p>
      <w:pPr>
        <w:pStyle w:val="Heading1"/>
        <w:spacing w:before="240" w:after="120"/>
        <w:ind w:firstLine="0"/>
      </w:pPr>
      <w:r>
        <w:rPr>
          <w:rFonts w:ascii="Arial" w:hAnsi="Arial" w:eastAsia="黑体" w:cs="Arial"/>
          <w:b/>
          <w:color w:val="1F4E79"/>
          <w:sz w:val="32"/>
        </w:rPr>
        <w:t>7 注意事项</w:t>
      </w:r>
    </w:p>
    <w:p>
      <w:pPr>
        <w:spacing w:after="120" w:before="0" w:line="360" w:lineRule="auto"/>
        <w:ind w:firstLine="420"/>
      </w:pPr>
      <w:r>
        <w:rPr>
          <w:rFonts w:ascii="Times New Roman" w:hAnsi="Times New Roman" w:eastAsia="宋体" w:cs="Times New Roman"/>
          <w:b w:val="0"/>
          <w:sz w:val="24"/>
        </w:rPr>
        <w:t>（1）求解为大规模 8760 h MILP，可能需数分钟。可在 green_power_opt.py 中调整 MAIN_MIP_GAP 与 TimeLimit。</w:t>
      </w:r>
    </w:p>
    <w:p>
      <w:pPr>
        <w:spacing w:after="120" w:before="0" w:line="360" w:lineRule="auto"/>
        <w:ind w:firstLine="420"/>
      </w:pPr>
      <w:r>
        <w:rPr>
          <w:rFonts w:ascii="Times New Roman" w:hAnsi="Times New Roman" w:eastAsia="宋体" w:cs="Times New Roman"/>
          <w:b w:val="0"/>
          <w:sz w:val="24"/>
        </w:rPr>
        <w:t>（2）换真实风电场或光伏场站数据时，请同步检查 Θ_WT、Θ_PV 与 α 时序是否匹配年等效小时数。</w:t>
      </w:r>
    </w:p>
    <w:p>
      <w:pPr>
        <w:spacing w:after="120" w:before="0" w:line="360" w:lineRule="auto"/>
        <w:ind w:firstLine="420"/>
      </w:pPr>
      <w:r>
        <w:rPr>
          <w:rFonts w:ascii="Times New Roman" w:hAnsi="Times New Roman" w:eastAsia="宋体" w:cs="Times New Roman"/>
          <w:b w:val="0"/>
          <w:sz w:val="24"/>
        </w:rPr>
        <w:t>（3）out/ 目录体积较大且可重新生成，不要提交到 Git。完整功能（固定厂扫描、灵敏度出图）在仓库 main 分支。</w:t>
      </w:r>
    </w:p>
    <w:p>
      <w:pPr>
        <w:spacing w:before="360"/>
        <w:ind w:firstLine="0"/>
        <w:jc w:val="center"/>
      </w:pPr>
      <w:r>
        <w:rPr>
          <w:rFonts w:ascii="Times New Roman" w:hAnsi="Times New Roman" w:eastAsia="宋体" w:cs="Times New Roman"/>
          <w:b w:val="0"/>
          <w:color w:val="5B5B5B"/>
          <w:sz w:val="21"/>
        </w:rPr>
        <w:t>— 完 —</w:t>
      </w:r>
    </w:p>
    <w:sectPr w:rsidR="00FC693F" w:rsidRPr="0006063C" w:rsidSect="00034616">
      <w:pgSz w:w="12240" w:h="15840"/>
      <w:pgMar w:top="1440" w:right="1474"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