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700"/>
      </w:pPr>
      <w:r>
        <w:rPr>
          <w:rFonts w:ascii="Times New Roman" w:hAnsi="Times New Roman" w:eastAsia="Times New Roman" w:cs="Times New Roman"/>
          <w:sz w:val="26"/>
          <w:szCs w:val="26"/>
        </w:rPr>
        <w:t>Faculty of Electronics, Photonics and Microsystems</w:t>
      </w: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312" w:lineRule="auto" w:after="8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Frontend zbudowano w technologiach React 19 i TanStack Start; backend wykorzystuje FastAPI oraz PostgreSQL; wnioskowanie modelu językowego delegowano do usługi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odpowiedzi na obawy dotyczące kosztu, opóźnienia oraz zależności od zewnętrznego dostawcy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łączy deterministyczną heurystykę ze strukturalnym wyjściem modelu językowego (40% / 60%).</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opiera się na klasycznych metodach wyszukiwania informacji: ważeniu słów kluczowych metodą TF–IDF i rankingowi BM25, normalizacji umiejętności zgodnej z taksonomią ESCO, dopasowaniu rozmytym oraz ekstrakcji cech ważonych sekcjami.</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Kontrolowane studium porównawcze oceniło oba tryby na 100 parach (CV, opis stanowiska) obejmujących sześć ścieżek zawodowych. Zbiór ewaluacyjny składa się z deterministycznie wygenerowanych par syntetycznych CV i opisów stanowisk skonstruowanych z rozłącznych słownikowo pul fraz; strona CV i strona opisu stanowiska nie współdzielą słownictwa treściowego poza kanonicznymi nazwami umiejętności. W tym zbiorze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[95-proc. przedział ufności: 0,762–0,896; bootstrap klastrowy względem identyfikatora CV] oraz Spearmanowskim ρ = 0,847, działa około dwa do trzech rzędów wielkości szybciej (mediana 25,5 ms wobec 18,2 s) oraz nie ponosi krańcowego kosztu po stronie modelu językowego.</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[95-proc. przedział ufności: 0,470–0,758]. Tryb mieszany pozostaje wartościowy w ocenie jakości prozy: na 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zgodność między obydwoma trybami spada do</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wskazuje, że w tym wymiarze deterministyczna heurystyka nie zastępuje modelu językowego. Ograniczenia obejmują zakres jednojęzyczny (angielski), syntetyczny zbiór jednego autora oraz pojedynczą konfigurację dostawcy modelu językowego. Dalsze prace obejmują rozszerzenie pokrycia językowego na polski (etykiety ESCO, polskojęzyczne wstępne przetwarzanie, detekcję sekcji oraz dwujęzyczną ewaluację), pośredni poziom dopasowania semantycznego oparty na transformatorach zdań, integrację komponentu wyszukiwania wspomagającego oraz wymianę pamięci podręcznej procesu na rozwiązanie współdzielone (Redis).</w:t>
      </w:r>
    </w:p>
    <w:p>
      <w:pPr>
        <w:pStyle w:val="BodyText"/>
        <w:spacing w:line="312" w:lineRule="auto" w:after="8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312" w:lineRule="auto" w:after="80"/>
        <w:ind w:firstLine="283"/>
        <w:jc w:val="both"/>
      </w:pPr>
      <w:r>
        <w:rPr>
          <w:rFonts w:ascii="Times New Roman" w:hAnsi="Times New Roman" w:eastAsia="Times New Roman" w:cs="Times New Roman"/>
          <w:color w:val="000000"/>
          <w:sz w:val="24"/>
        </w:rPr>
        <w:t xml:space="preserve">Abstract (English)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string-similarity fuzzy matching, and section-weighted feature extraction.</w:t>
      </w:r>
    </w:p>
    <w:p>
      <w:pPr>
        <w:pStyle w:val="BodyText"/>
        <w:spacing w:line="312" w:lineRule="auto" w:after="8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0.470, 0.758], after controlling for the 0.40 heuristic share embedded in the blended formula.</w:t>
      </w:r>
    </w:p>
    <w:p>
      <w:pPr>
        <w:pStyle w:val="BodyText"/>
        <w:spacing w:line="312" w:lineRule="auto" w:after="80"/>
        <w:ind w:firstLine="283"/>
        <w:jc w:val="both"/>
      </w:pPr>
      <w:r>
        <w:rPr>
          <w:rFonts w:ascii="Times New Roman" w:hAnsi="Times New Roman" w:eastAsia="Times New Roman" w:cs="Times New Roman"/>
          <w:color w:val="000000"/>
          <w:sz w:val="24"/>
        </w:rPr>
        <w:t xml:space="preserve">These results support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coverage (ESCO label expansion, Polish-aware preprocessing, section detection, and bilingual evaluation), a sentence-transformer intermediate tier, retrieval-augmented grounding, and a Redis-backed shared cache.</w:t>
      </w:r>
    </w:p>
    <w:p>
      <w:pPr>
        <w:pStyle w:val="BodyText"/>
        <w:spacing w:line="312" w:lineRule="auto" w:after="8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pPr>
        <w:pStyle w:val="Heading1"/>
        <w:spacing w:line="312" w:lineRule="auto" w:after="80"/>
        <w:ind w:firstLine="283"/>
        <w:jc w:val="both"/>
        <w:pageBreakBefore/>
      </w:pPr>
      <w:r>
        <w:rPr>
          <w:rFonts w:ascii="Times New Roman" w:hAnsi="Times New Roman" w:eastAsia="Times New Roman" w:cs="Times New Roman"/>
          <w:color w:val="000000"/>
          <w:sz w:val="24"/>
        </w:rPr>
        <w:t xml:space="preserve">Acknowledgements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312" w:lineRule="auto" w:after="8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312" w:lineRule="auto" w:after="8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bookmarkEnd w:id="24"/>
    <w:bookmarkStart w:id="26" w:name="list-of-abbreviations-and-symbols"/>
    <w:p>
      <w:r>
        <w:br w:type="page"/>
      </w:r>
    </w:p>
    <w:p>
      <w:pPr>
        <w:pStyle w:val="Heading1"/>
        <w:spacing w:line="312" w:lineRule="auto" w:after="80"/>
        <w:ind w:firstLine="283"/>
        <w:jc w:val="both"/>
        <w:pageBreakBefore/>
      </w:pPr>
      <w:r>
        <w:rPr>
          <w:rFonts w:ascii="Times New Roman" w:hAnsi="Times New Roman" w:eastAsia="Times New Roman" w:cs="Times New Roman"/>
          <w:color w:val="000000"/>
          <w:sz w:val="24"/>
        </w:rPr>
        <w:t xml:space="preserve">List of abbreviations and symbols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Abbreviation</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Expansion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Artificial Intelligence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Application Programming Interface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Archive of Diploma Theses (USOS-APD)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ATS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Applicant Tracking System</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BM25</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Best Match 25 (probabilistic relevance ranking function)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Confidence Interval / Continuous Integration, depending on context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CORS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Cross-Origin Resource Sharing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ESCO</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European Skills, Competences, Qualifications and Occupations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FastAPI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Python web framework used by the backend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GDPR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General Data Protection Regulation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Gemini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large-language-model family used through Vertex AI</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HTTP / HTTPS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HyperText Transfer Protocol / HTTP Secure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Information Retrieval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Job Description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JSON</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JavaScript Object Notation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JWT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JSON Web Token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Kolmogorov–Smirnov statistical distance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Large Language Model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Named-Entity Recognition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NLP</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Natural Language Processing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OAuth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Open Authorisation / federated-identity protocol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O*NET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Occupational Information Network taxonomy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ORM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Object–Relational Mapping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Portable Document Format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PWr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Politechnika Wrocławska / Wrocław University of Science and Technology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RAG</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Retrieval-Augmented Generation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REST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Representational State Transfer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SBERT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Sentence-BERT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SQL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Structured Query Language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TF–IDF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Term Frequency–Inverse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UI / UX</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User Interface / User Experience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URL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Uniform Resource Locator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USOS-APD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USOS Archive of Diploma Theses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UUID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Universally Unique Identifier</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WEFiM</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Faculty of Electronics, Photonics and Microsystems</w:t>
            </w:r>
          </w:p>
        </w:tc>
      </w:tr>
    </w:tbl>
    <w:bookmarkStart w:id="25" w:name="symbols-used-in-formulas-in-chapter-4"/>
    <w:p>
      <w:pPr>
        <w:pStyle w:val="Heading2"/>
        <w:spacing w:line="312" w:lineRule="auto" w:after="80"/>
        <w:ind w:firstLine="283"/>
        <w:jc w:val="both"/>
      </w:pPr>
      <w:r>
        <w:rPr>
          <w:rFonts w:ascii="Times New Roman" w:hAnsi="Times New Roman" w:eastAsia="Times New Roman" w:cs="Times New Roman"/>
          <w:color w:val="000000"/>
          <w:sz w:val="24"/>
        </w:rPr>
        <w:t xml:space="preserve">Symbols (used in formulas in Chapter 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Symbol</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Meaning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Pearson correlation coefficient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ρ, 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Spearman and Kendall rank-correlation coefficients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BM25 term-frequency saturation and document-length normalisation parameters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Fuzzy-matching similarity threshold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idf(t)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Number of resumes and number of job descriptions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 single resume and a single job description</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Keyword extractor function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spacing w:before="0" w:after="45"/>
      </w:pPr>
      <w:r>
        <w:rPr>
          <w:rFonts w:ascii="Times New Roman" w:hAnsi="Times New Roman" w:eastAsia="Times New Roman" w:cs="Times New Roman"/>
          <w:b/>
          <w:bCs/>
          <w:sz w:val="24"/>
        </w:rPr>
        <w:t>Chapter 1 — Introduction</w:t>
      </w:r>
      <w:r>
        <w:tab/>
      </w:r>
      <w:r>
        <w:rPr>
          <w:rFonts w:ascii="Times New Roman" w:hAnsi="Times New Roman" w:eastAsia="Times New Roman" w:cs="Times New Roman"/>
          <w:b/>
          <w:bCs/>
          <w:sz w:val="24"/>
        </w:rPr>
        <w:t>1</w:t>
      </w:r>
    </w:p>
    <w:p>
      <w:pPr>
        <w:pStyle w:val="TOC2"/>
        <w:spacing w:before="0" w:after="45"/>
      </w:pPr>
      <w:r>
        <w:rPr>
          <w:rFonts w:ascii="Times New Roman" w:hAnsi="Times New Roman" w:eastAsia="Times New Roman" w:cs="Times New Roman"/>
          <w:sz w:val="24"/>
        </w:rPr>
        <w:t>1.1 The career decision problem</w:t>
      </w:r>
      <w:r>
        <w:tab/>
      </w:r>
      <w:r>
        <w:rPr>
          <w:rFonts w:ascii="Times New Roman" w:hAnsi="Times New Roman" w:eastAsia="Times New Roman" w:cs="Times New Roman"/>
          <w:sz w:val="24"/>
        </w:rPr>
        <w:t>1</w:t>
      </w:r>
    </w:p>
    <w:p>
      <w:pPr>
        <w:pStyle w:val="TOC2"/>
        <w:spacing w:before="0" w:after="45"/>
      </w:pPr>
      <w:r>
        <w:rPr>
          <w:rFonts w:ascii="Times New Roman" w:hAnsi="Times New Roman" w:eastAsia="Times New Roman" w:cs="Times New Roman"/>
          <w:sz w:val="24"/>
        </w:rPr>
        <w:t>1.2 AI-based recommendation systems for careers</w:t>
      </w:r>
      <w:r>
        <w:tab/>
      </w:r>
      <w:r>
        <w:rPr>
          <w:rFonts w:ascii="Times New Roman" w:hAnsi="Times New Roman" w:eastAsia="Times New Roman" w:cs="Times New Roman"/>
          <w:sz w:val="24"/>
        </w:rPr>
        <w:t>2</w:t>
      </w:r>
    </w:p>
    <w:p>
      <w:pPr>
        <w:pStyle w:val="TOC2"/>
        <w:spacing w:before="0" w:after="45"/>
      </w:pPr>
      <w:r>
        <w:rPr>
          <w:rFonts w:ascii="Times New Roman" w:hAnsi="Times New Roman" w:eastAsia="Times New Roman" w:cs="Times New Roman"/>
          <w:sz w:val="24"/>
        </w:rPr>
        <w:t>1.3 Resume parsing and job-description analysis</w:t>
      </w:r>
      <w:r>
        <w:tab/>
      </w:r>
      <w:r>
        <w:rPr>
          <w:rFonts w:ascii="Times New Roman" w:hAnsi="Times New Roman" w:eastAsia="Times New Roman" w:cs="Times New Roman"/>
          <w:sz w:val="24"/>
        </w:rPr>
        <w:t>2</w:t>
      </w:r>
    </w:p>
    <w:p>
      <w:pPr>
        <w:pStyle w:val="TOC2"/>
        <w:spacing w:before="0" w:after="45"/>
      </w:pPr>
      <w:r>
        <w:rPr>
          <w:rFonts w:ascii="Times New Roman" w:hAnsi="Times New Roman" w:eastAsia="Times New Roman" w:cs="Times New Roman"/>
          <w:sz w:val="24"/>
        </w:rPr>
        <w:t>1.4 Heuristic and language-model scoring approaches</w:t>
      </w:r>
      <w:r>
        <w:tab/>
      </w:r>
      <w:r>
        <w:rPr>
          <w:rFonts w:ascii="Times New Roman" w:hAnsi="Times New Roman" w:eastAsia="Times New Roman" w:cs="Times New Roman"/>
          <w:sz w:val="24"/>
        </w:rPr>
        <w:t>3</w:t>
      </w:r>
    </w:p>
    <w:p>
      <w:pPr>
        <w:pStyle w:val="TOC2"/>
        <w:spacing w:before="0" w:after="45"/>
      </w:pPr>
      <w:r>
        <w:rPr>
          <w:rFonts w:ascii="Times New Roman" w:hAnsi="Times New Roman" w:eastAsia="Times New Roman" w:cs="Times New Roman"/>
          <w:sz w:val="24"/>
        </w:rPr>
        <w:t>1.5 Purpose of the thesis</w:t>
      </w:r>
      <w:r>
        <w:tab/>
      </w:r>
      <w:r>
        <w:rPr>
          <w:rFonts w:ascii="Times New Roman" w:hAnsi="Times New Roman" w:eastAsia="Times New Roman" w:cs="Times New Roman"/>
          <w:sz w:val="24"/>
        </w:rPr>
        <w:t>4</w:t>
      </w:r>
    </w:p>
    <w:p>
      <w:pPr>
        <w:pStyle w:val="TOC2"/>
        <w:spacing w:before="0" w:after="45"/>
      </w:pPr>
      <w:r>
        <w:rPr>
          <w:rFonts w:ascii="Times New Roman" w:hAnsi="Times New Roman" w:eastAsia="Times New Roman" w:cs="Times New Roman"/>
          <w:sz w:val="24"/>
        </w:rPr>
        <w:t>1.6 Structure of the thesis</w:t>
      </w:r>
      <w:r>
        <w:tab/>
      </w:r>
      <w:r>
        <w:rPr>
          <w:rFonts w:ascii="Times New Roman" w:hAnsi="Times New Roman" w:eastAsia="Times New Roman" w:cs="Times New Roman"/>
          <w:sz w:val="24"/>
        </w:rPr>
        <w:t>5</w:t>
      </w:r>
    </w:p>
    <w:p>
      <w:pPr>
        <w:pStyle w:val="TOC1"/>
        <w:spacing w:before="0" w:after="45"/>
      </w:pPr>
      <w:r>
        <w:rPr>
          <w:rFonts w:ascii="Times New Roman" w:hAnsi="Times New Roman" w:eastAsia="Times New Roman" w:cs="Times New Roman"/>
          <w:b/>
          <w:bCs/>
          <w:sz w:val="24"/>
        </w:rPr>
        <w:t>Chapter 2 — System architecture</w:t>
      </w:r>
      <w:r>
        <w:tab/>
      </w:r>
      <w:r>
        <w:rPr>
          <w:rFonts w:ascii="Times New Roman" w:hAnsi="Times New Roman" w:eastAsia="Times New Roman" w:cs="Times New Roman"/>
          <w:b/>
          <w:bCs/>
          <w:sz w:val="24"/>
        </w:rPr>
        <w:t>6</w:t>
      </w:r>
    </w:p>
    <w:p>
      <w:pPr>
        <w:pStyle w:val="TOC2"/>
        <w:spacing w:before="0" w:after="45"/>
      </w:pPr>
      <w:r>
        <w:rPr>
          <w:rFonts w:ascii="Times New Roman" w:hAnsi="Times New Roman" w:eastAsia="Times New Roman" w:cs="Times New Roman"/>
          <w:sz w:val="24"/>
        </w:rPr>
        <w:t>2.1 Functional and non-functional requirements</w:t>
      </w:r>
      <w:r>
        <w:tab/>
      </w:r>
      <w:r>
        <w:rPr>
          <w:rFonts w:ascii="Times New Roman" w:hAnsi="Times New Roman" w:eastAsia="Times New Roman" w:cs="Times New Roman"/>
          <w:sz w:val="24"/>
        </w:rPr>
        <w:t>6</w:t>
      </w:r>
    </w:p>
    <w:p>
      <w:pPr>
        <w:pStyle w:val="TOC2"/>
        <w:spacing w:before="0" w:after="45"/>
      </w:pPr>
      <w:r>
        <w:rPr>
          <w:rFonts w:ascii="Times New Roman" w:hAnsi="Times New Roman" w:eastAsia="Times New Roman" w:cs="Times New Roman"/>
          <w:sz w:val="24"/>
        </w:rPr>
        <w:t>2.2 Technology stack and rationale</w:t>
      </w:r>
      <w:r>
        <w:tab/>
      </w:r>
      <w:r>
        <w:rPr>
          <w:rFonts w:ascii="Times New Roman" w:hAnsi="Times New Roman" w:eastAsia="Times New Roman" w:cs="Times New Roman"/>
          <w:sz w:val="24"/>
        </w:rPr>
        <w:t>8</w:t>
      </w:r>
    </w:p>
    <w:p>
      <w:pPr>
        <w:pStyle w:val="TOC2"/>
        <w:spacing w:before="0" w:after="45"/>
      </w:pPr>
      <w:r>
        <w:rPr>
          <w:rFonts w:ascii="Times New Roman" w:hAnsi="Times New Roman" w:eastAsia="Times New Roman" w:cs="Times New Roman"/>
          <w:sz w:val="24"/>
        </w:rPr>
        <w:t>2.3 Backend architecture</w:t>
      </w:r>
      <w:r>
        <w:tab/>
      </w:r>
      <w:r>
        <w:rPr>
          <w:rFonts w:ascii="Times New Roman" w:hAnsi="Times New Roman" w:eastAsia="Times New Roman" w:cs="Times New Roman"/>
          <w:sz w:val="24"/>
        </w:rPr>
        <w:t>9</w:t>
      </w:r>
    </w:p>
    <w:p>
      <w:pPr>
        <w:pStyle w:val="TOC2"/>
        <w:spacing w:before="0" w:after="45"/>
      </w:pPr>
      <w:r>
        <w:rPr>
          <w:rFonts w:ascii="Times New Roman" w:hAnsi="Times New Roman" w:eastAsia="Times New Roman" w:cs="Times New Roman"/>
          <w:sz w:val="24"/>
        </w:rPr>
        <w:t>2.4 Frontend architecture</w:t>
      </w:r>
      <w:r>
        <w:tab/>
      </w:r>
      <w:r>
        <w:rPr>
          <w:rFonts w:ascii="Times New Roman" w:hAnsi="Times New Roman" w:eastAsia="Times New Roman" w:cs="Times New Roman"/>
          <w:sz w:val="24"/>
        </w:rPr>
        <w:t>12</w:t>
      </w:r>
    </w:p>
    <w:p>
      <w:pPr>
        <w:pStyle w:val="TOC2"/>
        <w:spacing w:before="0" w:after="45"/>
      </w:pPr>
      <w:r>
        <w:rPr>
          <w:rFonts w:ascii="Times New Roman" w:hAnsi="Times New Roman" w:eastAsia="Times New Roman" w:cs="Times New Roman"/>
          <w:sz w:val="24"/>
        </w:rPr>
        <w:t>2.5 Data model and persistence</w:t>
      </w:r>
      <w:r>
        <w:tab/>
      </w:r>
      <w:r>
        <w:rPr>
          <w:rFonts w:ascii="Times New Roman" w:hAnsi="Times New Roman" w:eastAsia="Times New Roman" w:cs="Times New Roman"/>
          <w:sz w:val="24"/>
        </w:rPr>
        <w:t>13</w:t>
      </w:r>
    </w:p>
    <w:p>
      <w:pPr>
        <w:pStyle w:val="TOC2"/>
        <w:spacing w:before="0" w:after="45"/>
      </w:pPr>
      <w:r>
        <w:rPr>
          <w:rFonts w:ascii="Times New Roman" w:hAnsi="Times New Roman" w:eastAsia="Times New Roman" w:cs="Times New Roman"/>
          <w:sz w:val="24"/>
        </w:rPr>
        <w:t>2.6 Authentication and security</w:t>
      </w:r>
      <w:r>
        <w:tab/>
      </w:r>
      <w:r>
        <w:rPr>
          <w:rFonts w:ascii="Times New Roman" w:hAnsi="Times New Roman" w:eastAsia="Times New Roman" w:cs="Times New Roman"/>
          <w:sz w:val="24"/>
        </w:rPr>
        <w:t>14</w:t>
      </w:r>
    </w:p>
    <w:p>
      <w:pPr>
        <w:pStyle w:val="TOC2"/>
        <w:spacing w:before="0" w:after="45"/>
      </w:pPr>
      <w:r>
        <w:rPr>
          <w:rFonts w:ascii="Times New Roman" w:hAnsi="Times New Roman" w:eastAsia="Times New Roman" w:cs="Times New Roman"/>
          <w:sz w:val="24"/>
        </w:rPr>
        <w:t>2.7 Deployment topology</w:t>
      </w:r>
      <w:r>
        <w:tab/>
      </w:r>
      <w:r>
        <w:rPr>
          <w:rFonts w:ascii="Times New Roman" w:hAnsi="Times New Roman" w:eastAsia="Times New Roman" w:cs="Times New Roman"/>
          <w:sz w:val="24"/>
        </w:rPr>
        <w:t>14</w:t>
      </w:r>
    </w:p>
    <w:p>
      <w:pPr>
        <w:pStyle w:val="TOC1"/>
        <w:spacing w:before="0" w:after="45"/>
      </w:pPr>
      <w:r>
        <w:rPr>
          <w:rFonts w:ascii="Times New Roman" w:hAnsi="Times New Roman" w:eastAsia="Times New Roman" w:cs="Times New Roman"/>
          <w:b/>
          <w:bCs/>
          <w:sz w:val="24"/>
        </w:rPr>
        <w:t>Chapter 3 — Tool implementations</w:t>
      </w:r>
      <w:r>
        <w:tab/>
      </w:r>
      <w:r>
        <w:rPr>
          <w:rFonts w:ascii="Times New Roman" w:hAnsi="Times New Roman" w:eastAsia="Times New Roman" w:cs="Times New Roman"/>
          <w:b/>
          <w:bCs/>
          <w:sz w:val="24"/>
        </w:rPr>
        <w:t>16</w:t>
      </w:r>
    </w:p>
    <w:p>
      <w:pPr>
        <w:pStyle w:val="TOC2"/>
        <w:spacing w:before="0" w:after="45"/>
      </w:pPr>
      <w:r>
        <w:rPr>
          <w:rFonts w:ascii="Times New Roman" w:hAnsi="Times New Roman" w:eastAsia="Times New Roman" w:cs="Times New Roman"/>
          <w:sz w:val="24"/>
        </w:rPr>
        <w:t>3.1 Cross-cutting design</w:t>
      </w:r>
      <w:r>
        <w:tab/>
      </w:r>
      <w:r>
        <w:rPr>
          <w:rFonts w:ascii="Times New Roman" w:hAnsi="Times New Roman" w:eastAsia="Times New Roman" w:cs="Times New Roman"/>
          <w:sz w:val="24"/>
        </w:rPr>
        <w:t>16</w:t>
      </w:r>
    </w:p>
    <w:p>
      <w:pPr>
        <w:pStyle w:val="TOC2"/>
        <w:spacing w:before="0" w:after="45"/>
      </w:pPr>
      <w:r>
        <w:rPr>
          <w:rFonts w:ascii="Times New Roman" w:hAnsi="Times New Roman" w:eastAsia="Times New Roman" w:cs="Times New Roman"/>
          <w:sz w:val="24"/>
        </w:rPr>
        <w:t>3.2 Resume Analyzer</w:t>
      </w:r>
      <w:r>
        <w:tab/>
      </w:r>
      <w:r>
        <w:rPr>
          <w:rFonts w:ascii="Times New Roman" w:hAnsi="Times New Roman" w:eastAsia="Times New Roman" w:cs="Times New Roman"/>
          <w:sz w:val="24"/>
        </w:rPr>
        <w:t>18</w:t>
      </w:r>
    </w:p>
    <w:p>
      <w:pPr>
        <w:pStyle w:val="TOC2"/>
        <w:spacing w:before="0" w:after="45"/>
      </w:pPr>
      <w:r>
        <w:rPr>
          <w:rFonts w:ascii="Times New Roman" w:hAnsi="Times New Roman" w:eastAsia="Times New Roman" w:cs="Times New Roman"/>
          <w:sz w:val="24"/>
        </w:rPr>
        <w:t>3.3 Job Match</w:t>
      </w:r>
      <w:r>
        <w:tab/>
      </w:r>
      <w:r>
        <w:rPr>
          <w:rFonts w:ascii="Times New Roman" w:hAnsi="Times New Roman" w:eastAsia="Times New Roman" w:cs="Times New Roman"/>
          <w:sz w:val="24"/>
        </w:rPr>
        <w:t>19</w:t>
      </w:r>
    </w:p>
    <w:p>
      <w:pPr>
        <w:pStyle w:val="TOC2"/>
        <w:spacing w:before="0" w:after="45"/>
      </w:pPr>
      <w:r>
        <w:rPr>
          <w:rFonts w:ascii="Times New Roman" w:hAnsi="Times New Roman" w:eastAsia="Times New Roman" w:cs="Times New Roman"/>
          <w:sz w:val="24"/>
        </w:rPr>
        <w:t>3.4 Career Path</w:t>
      </w:r>
      <w:r>
        <w:tab/>
      </w:r>
      <w:r>
        <w:rPr>
          <w:rFonts w:ascii="Times New Roman" w:hAnsi="Times New Roman" w:eastAsia="Times New Roman" w:cs="Times New Roman"/>
          <w:sz w:val="24"/>
        </w:rPr>
        <w:t>20</w:t>
      </w:r>
    </w:p>
    <w:p>
      <w:pPr>
        <w:pStyle w:val="TOC2"/>
        <w:spacing w:before="0" w:after="45"/>
      </w:pPr>
      <w:r>
        <w:rPr>
          <w:rFonts w:ascii="Times New Roman" w:hAnsi="Times New Roman" w:eastAsia="Times New Roman" w:cs="Times New Roman"/>
          <w:sz w:val="24"/>
        </w:rPr>
        <w:t>3.5 Cover Letter</w:t>
      </w:r>
      <w:r>
        <w:tab/>
      </w:r>
      <w:r>
        <w:rPr>
          <w:rFonts w:ascii="Times New Roman" w:hAnsi="Times New Roman" w:eastAsia="Times New Roman" w:cs="Times New Roman"/>
          <w:sz w:val="24"/>
        </w:rPr>
        <w:t>21</w:t>
      </w:r>
    </w:p>
    <w:p>
      <w:pPr>
        <w:pStyle w:val="TOC2"/>
        <w:spacing w:before="0" w:after="45"/>
      </w:pPr>
      <w:r>
        <w:rPr>
          <w:rFonts w:ascii="Times New Roman" w:hAnsi="Times New Roman" w:eastAsia="Times New Roman" w:cs="Times New Roman"/>
          <w:sz w:val="24"/>
        </w:rPr>
        <w:t>3.6 Interview Q&amp;A</w:t>
      </w:r>
      <w:r>
        <w:tab/>
      </w:r>
      <w:r>
        <w:rPr>
          <w:rFonts w:ascii="Times New Roman" w:hAnsi="Times New Roman" w:eastAsia="Times New Roman" w:cs="Times New Roman"/>
          <w:sz w:val="24"/>
        </w:rPr>
        <w:t>21</w:t>
      </w:r>
    </w:p>
    <w:p>
      <w:pPr>
        <w:pStyle w:val="TOC2"/>
        <w:spacing w:before="0" w:after="45"/>
      </w:pPr>
      <w:r>
        <w:rPr>
          <w:rFonts w:ascii="Times New Roman" w:hAnsi="Times New Roman" w:eastAsia="Times New Roman" w:cs="Times New Roman"/>
          <w:sz w:val="24"/>
        </w:rPr>
        <w:t>3.7 Portfolio Planner</w:t>
      </w:r>
      <w:r>
        <w:tab/>
      </w:r>
      <w:r>
        <w:rPr>
          <w:rFonts w:ascii="Times New Roman" w:hAnsi="Times New Roman" w:eastAsia="Times New Roman" w:cs="Times New Roman"/>
          <w:sz w:val="24"/>
        </w:rPr>
        <w:t>21</w:t>
      </w:r>
    </w:p>
    <w:p>
      <w:pPr>
        <w:pStyle w:val="TOC2"/>
        <w:spacing w:before="0" w:after="45"/>
      </w:pPr>
      <w:r>
        <w:rPr>
          <w:rFonts w:ascii="Times New Roman" w:hAnsi="Times New Roman" w:eastAsia="Times New Roman" w:cs="Times New Roman"/>
          <w:sz w:val="24"/>
        </w:rPr>
        <w:t>3.8 Persistence, regeneration, and result history</w:t>
      </w:r>
      <w:r>
        <w:tab/>
      </w:r>
      <w:r>
        <w:rPr>
          <w:rFonts w:ascii="Times New Roman" w:hAnsi="Times New Roman" w:eastAsia="Times New Roman" w:cs="Times New Roman"/>
          <w:sz w:val="24"/>
        </w:rPr>
        <w:t>22</w:t>
      </w:r>
    </w:p>
    <w:p>
      <w:pPr>
        <w:pStyle w:val="TOC2"/>
        <w:spacing w:before="0" w:after="45"/>
      </w:pPr>
      <w:r>
        <w:rPr>
          <w:rFonts w:ascii="Times New Roman" w:hAnsi="Times New Roman" w:eastAsia="Times New Roman" w:cs="Times New Roman"/>
          <w:sz w:val="24"/>
        </w:rPr>
        <w:t>3.9 Reliability behaviour observed in production</w:t>
      </w:r>
      <w:r>
        <w:tab/>
      </w:r>
      <w:r>
        <w:rPr>
          <w:rFonts w:ascii="Times New Roman" w:hAnsi="Times New Roman" w:eastAsia="Times New Roman" w:cs="Times New Roman"/>
          <w:sz w:val="24"/>
        </w:rPr>
        <w:t>22</w:t>
      </w:r>
    </w:p>
    <w:p>
      <w:pPr>
        <w:pStyle w:val="TOC1"/>
        <w:spacing w:before="0" w:after="45"/>
      </w:pPr>
      <w:r>
        <w:rPr>
          <w:rFonts w:ascii="Times New Roman" w:hAnsi="Times New Roman" w:eastAsia="Times New Roman" w:cs="Times New Roman"/>
          <w:b/>
          <w:bCs/>
          <w:sz w:val="24"/>
        </w:rPr>
        <w:t>Chapter 4 — Conducted studies and results</w:t>
      </w:r>
      <w:r>
        <w:tab/>
      </w:r>
      <w:r>
        <w:rPr>
          <w:rFonts w:ascii="Times New Roman" w:hAnsi="Times New Roman" w:eastAsia="Times New Roman" w:cs="Times New Roman"/>
          <w:b/>
          <w:bCs/>
          <w:sz w:val="24"/>
        </w:rPr>
        <w:t>23</w:t>
      </w:r>
    </w:p>
    <w:p>
      <w:pPr>
        <w:pStyle w:val="TOC2"/>
        <w:spacing w:before="0" w:after="45"/>
      </w:pPr>
      <w:r>
        <w:rPr>
          <w:rFonts w:ascii="Times New Roman" w:hAnsi="Times New Roman" w:eastAsia="Times New Roman" w:cs="Times New Roman"/>
          <w:sz w:val="24"/>
        </w:rPr>
        <w:t>4.1 Methodology</w:t>
      </w:r>
      <w:r>
        <w:tab/>
      </w:r>
      <w:r>
        <w:rPr>
          <w:rFonts w:ascii="Times New Roman" w:hAnsi="Times New Roman" w:eastAsia="Times New Roman" w:cs="Times New Roman"/>
          <w:sz w:val="24"/>
        </w:rPr>
        <w:t>23</w:t>
      </w:r>
    </w:p>
    <w:p>
      <w:pPr>
        <w:pStyle w:val="TOC2"/>
        <w:spacing w:before="0" w:after="45"/>
      </w:pPr>
      <w:r>
        <w:rPr>
          <w:rFonts w:ascii="Times New Roman" w:hAnsi="Times New Roman" w:eastAsia="Times New Roman" w:cs="Times New Roman"/>
          <w:sz w:val="24"/>
        </w:rPr>
        <w:t>4.2 The strong heuristic (v2)</w:t>
      </w:r>
      <w:r>
        <w:tab/>
      </w:r>
      <w:r>
        <w:rPr>
          <w:rFonts w:ascii="Times New Roman" w:hAnsi="Times New Roman" w:eastAsia="Times New Roman" w:cs="Times New Roman"/>
          <w:sz w:val="24"/>
        </w:rPr>
        <w:t>25</w:t>
      </w:r>
    </w:p>
    <w:p>
      <w:pPr>
        <w:pStyle w:val="TOC2"/>
        <w:spacing w:before="0" w:after="45"/>
      </w:pPr>
      <w:r>
        <w:rPr>
          <w:rFonts w:ascii="Times New Roman" w:hAnsi="Times New Roman" w:eastAsia="Times New Roman" w:cs="Times New Roman"/>
          <w:sz w:val="24"/>
        </w:rPr>
        <w:t>4.3 Results</w:t>
      </w:r>
      <w:r>
        <w:tab/>
      </w:r>
      <w:r>
        <w:rPr>
          <w:rFonts w:ascii="Times New Roman" w:hAnsi="Times New Roman" w:eastAsia="Times New Roman" w:cs="Times New Roman"/>
          <w:sz w:val="24"/>
        </w:rPr>
        <w:t>27</w:t>
      </w:r>
    </w:p>
    <w:p>
      <w:pPr>
        <w:pStyle w:val="TOC2"/>
        <w:spacing w:before="0" w:after="45"/>
      </w:pPr>
      <w:r>
        <w:rPr>
          <w:rFonts w:ascii="Times New Roman" w:hAnsi="Times New Roman" w:eastAsia="Times New Roman" w:cs="Times New Roman"/>
          <w:sz w:val="24"/>
        </w:rPr>
        <w:t>4.4 Discussion and limitations</w:t>
      </w:r>
      <w:r>
        <w:tab/>
      </w:r>
      <w:r>
        <w:rPr>
          <w:rFonts w:ascii="Times New Roman" w:hAnsi="Times New Roman" w:eastAsia="Times New Roman" w:cs="Times New Roman"/>
          <w:sz w:val="24"/>
        </w:rPr>
        <w:t>33</w:t>
      </w:r>
    </w:p>
    <w:p>
      <w:pPr>
        <w:pStyle w:val="TOC1"/>
        <w:spacing w:before="0" w:after="45"/>
      </w:pPr>
      <w:r>
        <w:rPr>
          <w:rFonts w:ascii="Times New Roman" w:hAnsi="Times New Roman" w:eastAsia="Times New Roman" w:cs="Times New Roman"/>
          <w:b/>
          <w:bCs/>
          <w:sz w:val="24"/>
        </w:rPr>
        <w:t>Chapter 5 — Conclusions</w:t>
      </w:r>
      <w:r>
        <w:tab/>
      </w:r>
      <w:r>
        <w:rPr>
          <w:rFonts w:ascii="Times New Roman" w:hAnsi="Times New Roman" w:eastAsia="Times New Roman" w:cs="Times New Roman"/>
          <w:b/>
          <w:bCs/>
          <w:sz w:val="24"/>
        </w:rPr>
        <w:t>34</w:t>
      </w:r>
    </w:p>
    <w:p>
      <w:pPr>
        <w:pStyle w:val="TOC2"/>
        <w:spacing w:before="0" w:after="45"/>
      </w:pPr>
      <w:r>
        <w:rPr>
          <w:rFonts w:ascii="Times New Roman" w:hAnsi="Times New Roman" w:eastAsia="Times New Roman" w:cs="Times New Roman"/>
          <w:sz w:val="24"/>
        </w:rPr>
        <w:t>5.1 Results</w:t>
      </w:r>
      <w:r>
        <w:tab/>
      </w:r>
      <w:r>
        <w:rPr>
          <w:rFonts w:ascii="Times New Roman" w:hAnsi="Times New Roman" w:eastAsia="Times New Roman" w:cs="Times New Roman"/>
          <w:sz w:val="24"/>
        </w:rPr>
        <w:t>34</w:t>
      </w:r>
    </w:p>
    <w:p>
      <w:pPr>
        <w:pStyle w:val="TOC2"/>
        <w:spacing w:before="0" w:after="45"/>
      </w:pPr>
      <w:r>
        <w:rPr>
          <w:rFonts w:ascii="Times New Roman" w:hAnsi="Times New Roman" w:eastAsia="Times New Roman" w:cs="Times New Roman"/>
          <w:sz w:val="24"/>
        </w:rPr>
        <w:t>5.2 Limitations</w:t>
      </w:r>
      <w:r>
        <w:tab/>
      </w:r>
      <w:r>
        <w:rPr>
          <w:rFonts w:ascii="Times New Roman" w:hAnsi="Times New Roman" w:eastAsia="Times New Roman" w:cs="Times New Roman"/>
          <w:sz w:val="24"/>
        </w:rPr>
        <w:t>35</w:t>
      </w:r>
    </w:p>
    <w:p>
      <w:pPr>
        <w:pStyle w:val="TOC2"/>
        <w:spacing w:before="0" w:after="45"/>
      </w:pPr>
      <w:r>
        <w:rPr>
          <w:rFonts w:ascii="Times New Roman" w:hAnsi="Times New Roman" w:eastAsia="Times New Roman" w:cs="Times New Roman"/>
          <w:sz w:val="24"/>
        </w:rPr>
        <w:t>5.3 Future development</w:t>
      </w:r>
      <w:r>
        <w:tab/>
      </w:r>
      <w:r>
        <w:rPr>
          <w:rFonts w:ascii="Times New Roman" w:hAnsi="Times New Roman" w:eastAsia="Times New Roman" w:cs="Times New Roman"/>
          <w:sz w:val="24"/>
        </w:rPr>
        <w:t>36</w:t>
      </w:r>
    </w:p>
    <w:p>
      <w:pPr>
        <w:pStyle w:val="TOC1"/>
        <w:spacing w:before="0" w:after="45"/>
      </w:pPr>
      <w:r>
        <w:rPr>
          <w:rFonts w:ascii="Times New Roman" w:hAnsi="Times New Roman" w:eastAsia="Times New Roman" w:cs="Times New Roman"/>
          <w:b/>
          <w:bCs/>
          <w:sz w:val="24"/>
        </w:rPr>
        <w:t>Bibliography</w:t>
      </w:r>
      <w:r>
        <w:tab/>
      </w:r>
      <w:r>
        <w:rPr>
          <w:rFonts w:ascii="Times New Roman" w:hAnsi="Times New Roman" w:eastAsia="Times New Roman" w:cs="Times New Roman"/>
          <w:b/>
          <w:bCs/>
          <w:sz w:val="24"/>
        </w:rPr>
        <w:t>38</w:t>
      </w:r>
    </w:p>
    <w:p>
      <w:pPr>
        <w:pStyle w:val="TOC1"/>
        <w:spacing w:before="0" w:after="45"/>
      </w:pPr>
      <w:r>
        <w:rPr>
          <w:rFonts w:ascii="Times New Roman" w:hAnsi="Times New Roman" w:eastAsia="Times New Roman" w:cs="Times New Roman"/>
          <w:b/>
          <w:bCs/>
          <w:sz w:val="24"/>
        </w:rPr>
        <w:t>Appendix A — Source listings</w:t>
      </w:r>
      <w:r>
        <w:tab/>
      </w:r>
      <w:r>
        <w:rPr>
          <w:rFonts w:ascii="Times New Roman" w:hAnsi="Times New Roman" w:eastAsia="Times New Roman" w:cs="Times New Roman"/>
          <w:b/>
          <w:bCs/>
          <w:sz w:val="24"/>
        </w:rPr>
        <w:t>41</w:t>
      </w:r>
    </w:p>
    <w:p>
      <w:pPr>
        <w:pStyle w:val="TOC1"/>
        <w:spacing w:before="0" w:after="45"/>
      </w:pPr>
      <w:r>
        <w:rPr>
          <w:rFonts w:ascii="Times New Roman" w:hAnsi="Times New Roman" w:eastAsia="Times New Roman" w:cs="Times New Roman"/>
          <w:b/>
          <w:bCs/>
          <w:sz w:val="24"/>
        </w:rPr>
        <w:t>Appendix B — Evaluation dataset description</w:t>
      </w:r>
      <w:r>
        <w:tab/>
      </w:r>
      <w:r>
        <w:rPr>
          <w:rFonts w:ascii="Times New Roman" w:hAnsi="Times New Roman" w:eastAsia="Times New Roman" w:cs="Times New Roman"/>
          <w:b/>
          <w:bCs/>
          <w:sz w:val="24"/>
        </w:rPr>
        <w:t>43</w:t>
      </w:r>
    </w:p>
    <w:p>
      <w:pPr>
        <w:pStyle w:val="TOC1"/>
        <w:spacing w:before="0" w:after="45"/>
      </w:pPr>
      <w:r>
        <w:rPr>
          <w:rFonts w:ascii="Times New Roman" w:hAnsi="Times New Roman" w:eastAsia="Times New Roman" w:cs="Times New Roman"/>
          <w:b/>
          <w:bCs/>
          <w:sz w:val="24"/>
        </w:rPr>
        <w:t>Appendix C — Screenshots of the running system</w:t>
      </w:r>
      <w:r>
        <w:tab/>
      </w:r>
      <w:r>
        <w:rPr>
          <w:rFonts w:ascii="Times New Roman" w:hAnsi="Times New Roman" w:eastAsia="Times New Roman" w:cs="Times New Roman"/>
          <w:b/>
          <w:bCs/>
          <w:sz w:val="24"/>
        </w:rPr>
        <w:t>44</w:t>
      </w:r>
    </w:p>
    <w:p>
      <w:pPr>
        <w:pStyle w:val="TOC1"/>
        <w:spacing w:before="0" w:after="45"/>
        <w:sectPr>
          <w:type w:val="nextPage"/>
          <w:footerReference w:type="default" r:id="rId154"/>
          <w:pgSz w:w="11906" w:h="16838"/>
          <w:pgMar w:top="1417" w:right="1417" w:bottom="1417" w:left="1417" w:header="709" w:footer="709" w:gutter="0"/>
          <w:pgNumType w:fmt="lowerRoman" w:start="1"/>
          <w:cols w:space="708"/>
          <w:docGrid w:linePitch="360"/>
        </w:sectPr>
      </w:pPr>
      <w:r>
        <w:rPr>
          <w:rFonts w:ascii="Times New Roman" w:hAnsi="Times New Roman" w:eastAsia="Times New Roman" w:cs="Times New Roman"/>
          <w:b/>
          <w:bCs/>
          <w:sz w:val="24"/>
        </w:rPr>
        <w:t>Appendix D — Configuration reference</w:t>
      </w:r>
      <w:r>
        <w:tab/>
      </w:r>
      <w:r>
        <w:rPr>
          <w:rFonts w:ascii="Times New Roman" w:hAnsi="Times New Roman" w:eastAsia="Times New Roman" w:cs="Times New Roman"/>
          <w:b/>
          <w:bCs/>
          <w:sz w:val="24"/>
        </w:rPr>
        <w:t>47</w:t>
      </w:r>
    </w:p>
    <w:p>
      <w:pPr>
        <w:pStyle w:val="Heading1"/>
        <w:spacing w:line="312" w:lineRule="auto" w:after="80"/>
        <w:ind w:firstLine="283"/>
        <w:jc w:val="both"/>
      </w:pPr>
      <w:r>
        <w:rPr>
          <w:rFonts w:ascii="Times New Roman" w:hAnsi="Times New Roman" w:eastAsia="Times New Roman" w:cs="Times New Roman"/>
          <w:color w:val="000000"/>
          <w:sz w:val="24"/>
        </w:rPr>
        <w:t xml:space="preserve">Chapter 1 — Introduction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 before it reaches a recruiter.</w:t>
      </w:r>
    </w:p>
    <w:p>
      <w:pPr>
        <w:pStyle w:val="BodyText"/>
        <w:spacing w:line="312" w:lineRule="auto" w:after="80"/>
        <w:ind w:firstLine="283"/>
        <w:jc w:val="both"/>
      </w:pPr>
      <w:r>
        <w:rPr>
          <w:rFonts w:ascii="Times New Roman" w:hAnsi="Times New Roman" w:eastAsia="Times New Roman" w:cs="Times New Roman"/>
          <w:color w:val="000000"/>
          <w:sz w:val="24"/>
        </w:rPr>
        <w:t xml:space="preserve">A working candidate trying to answer those questions today typically uses a fragmented set of tools: a generic resume builder, a job board’s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“match score”</w:t>
      </w:r>
      <w:r>
        <w:rPr>
          <w:rFonts w:ascii="Times New Roman" w:hAnsi="Times New Roman" w:eastAsia="Times New Roman" w:cs="Times New Roman"/>
          <w:color w:val="000000"/>
          <w:sz w:val="24"/>
        </w:rP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spacing w:line="312" w:lineRule="auto" w:after="80"/>
        <w:ind w:firstLine="283"/>
        <w:jc w:val="both"/>
      </w:pPr>
      <w:r>
        <w:rPr>
          <w:rFonts w:ascii="Times New Roman" w:hAnsi="Times New Roman" w:eastAsia="Times New Roman" w:cs="Times New Roman"/>
          <w:color w:val="000000"/>
          <w:sz w:val="24"/>
        </w:rP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27" w:name="the-career-decision-problem"/>
    <w:p>
      <w:pPr>
        <w:pStyle w:val="Heading2"/>
        <w:spacing w:line="312" w:lineRule="auto" w:after="8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spacing w:line="312" w:lineRule="auto" w:after="8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312" w:lineRule="auto" w:after="8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 a different task framing (single-label classification over a closed catalogue) and data surface (real IT-employee records) than the resume-to-job-description scoring problem evaluated in Chapter 4, which is why a head-to-head comparison is not pursued in the present thesis.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spacing w:line="312" w:lineRule="auto" w:after="8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312" w:lineRule="auto" w:after="8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312" w:lineRule="auto" w:after="8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spacing w:line="312" w:lineRule="auto" w:after="8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central design tension addressed by this thesis is the choice between two families of methods for scoring the alignment between a resume and a job description.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first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classical information-retrieval techniques that rely on statistical regularities of text. The foundational methods in this family,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TF–IDF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BM25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[6], weight individual terms by how distinctive they are within a corpus, so that a rare technical skill counts for more than a common word. Fuzzy-matching algorithms based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Levenshtein edit distance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[7] absorb minor surface variation, allowing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“PostgreSQL”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register as the same term. Skill-taxonomy lookups against ESCO or O</w:t>
      </w:r>
      <w:r>
        <w:rPr>
          <w:rFonts w:ascii="Times New Roman" w:hAnsi="Times New Roman" w:eastAsia="Times New Roman" w:cs="Times New Roman"/>
          <w:i/>
          <w:iCs/>
          <w:color w:val="000000"/>
          <w:sz w:val="24"/>
        </w:rPr>
        <w:t xml:space="preserve">NET [8, 9] provide the normalisation step described in the previous section. Section-weighted feature extraction recognises that a skill listed in a dedicated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color w:val="000000"/>
          <w:sz w:val="24"/>
        </w:rP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tens of milliseconds on commodity hardware. The defendable claim, supported by decades of information-retrieval research, is that these techniques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already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capture much of the lexical and structural evidence that automated screening systems extract during the first pass over a resume.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large-language-model (LLM) services that read the resume and the job description as natural language, reason over them, and emit structured output describing the alignment. Recent research shows that LLM-based agents can accelerate resume-screening workflows relative to manual review [16], while context-aware multi-agent systems produce explainable candidate assessments aligned against HR ratings [17]. A complementary semantic-modelling and feedback-loop architecture for resume enhancement is reported in [19]. Resume2Vec [18] documents improved resume/job-description ranking over conventional ATS baselines. The cost of these methods is a per-call charge to a third-party API, latency on the order of one to several seconds per analysis, and an opaque reasoning process that is difficult to audit.</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dichotomy is the foundation of the comparative study reported in Chapter 4. The system described in this thesis exposes both modes through a single user-facing interface; an administrator can switch the analytical core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 plus language model, weighted) at runtime, and the same input is then scored by both methods on demand. The research question is not whether one approach is universally better (both have well-understood failure modes) but rather: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deliberately within-set framing is important; the benchmark and its construction limits are documented in Section 4.1.4.</w:t>
      </w:r>
    </w:p>
    <w:p>
      <w:pPr>
        <w:pStyle w:val="BodyText"/>
        <w:spacing w:line="312" w:lineRule="auto" w:after="80"/>
        <w:ind w:firstLine="283"/>
        <w:jc w:val="both"/>
      </w:pPr>
      <w:r>
        <w:rPr>
          <w:rFonts w:ascii="Times New Roman" w:hAnsi="Times New Roman" w:eastAsia="Times New Roman" w:cs="Times New Roman"/>
          <w:color w:val="000000"/>
          <w:sz w:val="24"/>
        </w:rP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pipeline already existed; this sequencing shaped the heuristic toward the specific decisions the language model was already making in production rather than toward an idealised retrieval-research baseline, and Chapter 4 treats the resulting design coupling as a disclosed validity threat rather than a hidden one.</w:t>
      </w:r>
    </w:p>
    <w:p>
      <w:pPr>
        <w:pStyle w:val="BodyText"/>
        <w:spacing w:line="312" w:lineRule="auto" w:after="80"/>
        <w:ind w:firstLine="283"/>
        <w:jc w:val="both"/>
      </w:pPr>
      <w:r>
        <w:rPr>
          <w:rFonts w:ascii="Times New Roman" w:hAnsi="Times New Roman" w:eastAsia="Times New Roman" w:cs="Times New Roman"/>
          <w:color w:val="000000"/>
          <w:sz w:val="24"/>
        </w:rPr>
        <w:t xml:space="preserve">The value of the comparison is operational as well as scientific. If the heuristic preserves useful ranking behaviour, it can act as a low-cost fallback when the LLM is unavailable, as a live demonstration mode during the diploma defence, and as a high-volume preview path that does not accumulate per-call inference cost. If it fails, the system still benefits from the blended mode, but the fallback must then be framed only as an emergency response.</w:t>
      </w:r>
    </w:p>
    <w:p>
      <w:pPr>
        <w:pStyle w:val="BodyText"/>
        <w:spacing w:line="312" w:lineRule="auto" w:after="80"/>
        <w:ind w:firstLine="283"/>
        <w:jc w:val="both"/>
      </w:pPr>
      <w:r>
        <w:rPr>
          <w:rFonts w:ascii="Times New Roman" w:hAnsi="Times New Roman" w:eastAsia="Times New Roman" w:cs="Times New Roman"/>
          <w:color w:val="000000"/>
          <w:sz w:val="24"/>
        </w:rPr>
        <w:t xml:space="preserve">The dual-mode design followed from a more pragmatic motivation than would have been predicted at project start.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retry-with-jitter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fallback policy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p>
      <w:r>
        <w:br w:type="page"/>
      </w:r>
    </w:p>
    <w:bookmarkEnd w:id="30"/>
    <w:bookmarkStart w:id="31" w:name="purpose-of-the-thesis"/>
    <w:p>
      <w:pPr>
        <w:pStyle w:val="Heading2"/>
        <w:spacing w:line="312" w:lineRule="auto" w:after="80"/>
        <w:ind w:firstLine="283"/>
        <w:jc w:val="both"/>
      </w:pPr>
      <w:r>
        <w:rPr>
          <w:rFonts w:ascii="Times New Roman" w:hAnsi="Times New Roman" w:eastAsia="Times New Roman" w:cs="Times New Roman"/>
          <w:color w:val="000000"/>
          <w:sz w:val="24"/>
        </w:rPr>
        <w:t xml:space="preserve">1.5 Purpose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312" w:lineRule="auto" w:after="8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spanning six role tracks using score agreement, distribution shape, latency, and per-call cost.</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312" w:lineRule="auto" w:after="8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spacing w:line="312" w:lineRule="auto" w:after="8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four future-work directions: Polish-language coverage, a sentence-transformer intermediate tier [20, 21], retrieval-augmented grounding for LLM outputs [25], and a Redis-backed shared cache.</w:t>
      </w:r>
    </w:p>
    <w:p>
      <w:pPr>
        <w:pStyle w:val="BodyText"/>
        <w:spacing w:line="312" w:lineRule="auto" w:after="8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spacing w:line="312" w:lineRule="auto" w:after="8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36" w:name="X543fc3ee69d8b9eebfbf21368042f80b38ec856"/>
    <w:p>
      <w:pPr>
        <w:pStyle w:val="Heading2"/>
        <w:spacing w:line="312" w:lineRule="auto" w:after="8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was designed to satisfy six functional requirements, each corresponding to one of the user-facing tools, and seven non-functional requirements that constrain how those tools are delivered.</w:t>
      </w:r>
    </w:p>
    <w:bookmarkStart w:id="34" w:name="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2.1.1 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functional requirements are summarised in Table 2.1; each row corresponds to one of the six user-facing tools whose implementation is described in Chapter 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2.1: Functional requirements F1–F6, one per user-facing tool.</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680"/>
        <w:gridCol w:w="1644"/>
        <w:gridCol w:w="6520"/>
      </w:tblGrid>
      <w:tr>
        <w:trPr>
          <w:tblHeader w:val="on"/>
        </w:trPr>
        <w:tc>
          <w:tcPr>
            <w:tcW w:type="dxa" w:w="68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ID</w:t>
            </w:r>
          </w:p>
        </w:tc>
        <w:tc>
          <w:tcPr>
            <w:tcW w:type="dxa" w:w="164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Tool</w:t>
            </w:r>
          </w:p>
        </w:tc>
        <w:tc>
          <w:tcPr>
            <w:tcW w:type="dxa" w:w="652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Required behaviour</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F1</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Resume Analyzer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free-text or uploaded resume, return a structured assessment with overall score, per-category sub-scores, identified issues, prioritised actions, and detected strengths.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F2</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Job Match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job description (text or URL), return a match score, matched keywords, missing keywords, a recruiter-style verdict, and a list of evidence-grounded action items.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F3</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Career Path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optional preferences, return a ranked list of suggested career paths with rationale, requisite skills, and a notional progression timeline.</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F4</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Cover Letter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job description, return a tailored cover letter with explicit structural sections that the user can copy and adapt.</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F5</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Interview Q&amp;A</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job description, return a curated list of likely interview questions clustered by category (behavioural, technical, role-specific), each with a coaching note.</w:t>
            </w:r>
          </w:p>
        </w:tc>
      </w:tr>
      <w:tr>
        <w:tc>
          <w:tcPr>
            <w:tcW w:type="dxa" w:w="68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F6</w:t>
            </w:r>
          </w:p>
        </w:tc>
        <w:tc>
          <w:tcPr>
            <w:tcW w:type="dxa" w:w="164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Portfolio Planner</w:t>
            </w:r>
          </w:p>
        </w:tc>
        <w:tc>
          <w:tcPr>
            <w:tcW w:type="dxa" w:w="652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target role, return a prioritised list of skill gaps and concrete artefact ideas (project briefs, contributions, certifications) that would close those gaps.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Three workflow constraints apply across all six tools. The same uploaded resume must serve as input across every tool without re-entry. Tool runs must be re-runnable: regeneration must produce a new history record rather than overwriting the original, so that a user can iterate without losing earlier output. A previously generated result must be referenceable as context when invoking another tool, so that a Cover Letter run can consume a Job Match result and an Interview Q&amp;A run can consume a Resume Analyzer result without manual copy-pasting between tools.</w:t>
      </w:r>
    </w:p>
    <w:bookmarkEnd w:id="34"/>
    <w:bookmarkStart w:id="35" w:name="non-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non-functional requirements were derived from the practical constraints of a single-developer, thesis-scoped deployment.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stated separately because the analytical core supports two scoring modes (Section 4.2.9) whose cost models differ by two orders of magnitude.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N1a (heuristic-only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50 ms; everything in the path is local string processing on commodity hardware.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N1b (blended LLM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degraded but useful service is preferred over a hard failure. When the LLM call fails or times out, analytical tools (Resume, Job Match) fall back to a heuristic-only response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the user. Generative tools (Cover Letter, Interview Q&amp;A) fail loudly with a structured error rather than producing fabricated content.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latency requirement N1 was split into N1a and N1b after measurement. An earlier single cold-path target below five seconds did not match the observed behaviour of structured LLM calls, which the comparative study in Chapter 4 confirms run for tens of seconds rather than under five. Separating the two targets keeps the requirement honest: the heuristic path is evaluated as local computation whose latency is fully under the application’s control, while the blended path is evaluated as an upstream-service workflow whose tail latency is governed by the third-party inference provider and absorbed by the retry policy described in Section 3.1.1.</w:t>
      </w:r>
    </w:p>
    <w:bookmarkEnd w:id="35"/>
    <w:bookmarkEnd w:id="36"/>
    <w:bookmarkStart w:id="37" w:name="technology-stack-and-rationale"/>
    <w:p>
      <w:pPr>
        <w:pStyle w:val="Heading2"/>
        <w:spacing w:line="312" w:lineRule="auto" w:after="8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technology stack is summarised in Table 2.2.</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2.2: System technology stack. Rationale entries record the specific property of each choice that makes it suitable for the thesis-scope deployment.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Layer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Choice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Rationale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Backend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FastAPI 0.115</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Python-native, asynchronous, automatic OpenAPI generation, Pydantic-driven schema validation.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ORM and migrations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SQLAlchemy 2.0 + Alembic</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Mature, type-safe in 2.0, integrates with FastAPI’s dependency injection.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Database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PostgreSQL 16 (Railway managed)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Single-node managed Postgres is sufficient for the workload; no sharding required.</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 provider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Vertex AI Gemini 2.5 Flash</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Lowest cost per 1 M tokens in the production-quality tier at the time of selection; native asynchronous client; reliable structured-output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Frontend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React 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Concurrent rendering, automatic batching, and the most mature component ecosystem.</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Routing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TanStack Router via TanStack Start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File-based routes, type-safe links, search-param state co-location.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Build tool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Vite 7</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Sub-second hot module replacement during development.</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Styling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Tailwind 4 + Radix UI primitives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Utility-first CSS without a parallel design-token system; Radix provides accessibility-correct primitives for menus, dialogs, and toggles.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Animation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Framer Motion</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Declarative timeline animations for the input page heroes.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Authentication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JWT in HttpOnly cookies + Google OAuth (authlib)</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No client-readable tokens; standard refresh-rotation pattern.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Transactional email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Resend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Used only for password-reset emails (no welcome or marketing email is sent in V1).</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Hosting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Railway (backend, frontend, Postgres)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Single dashboard, single billing relationship, native GitHub deploy hooks.</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Observability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Railway built-in metrics + Sentry free tier</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Sufficient for thesis-scope traffic; can be extended to a paid tier without code changes.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stack decisions deserve explicit defence because either could plausibly have been made differently.</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FastAPI rather than a Node/TypeScript backend.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the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rapidfuzz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scikit-learn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TanStack Start rather than Next.js.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spacing w:line="312" w:lineRule="auto" w:after="80"/>
        <w:ind w:firstLine="283"/>
        <w:jc w:val="both"/>
      </w:pPr>
      <w:r>
        <w:rPr>
          <w:rFonts w:ascii="Times New Roman" w:hAnsi="Times New Roman" w:eastAsia="Times New Roman" w:cs="Times New Roman"/>
          <w:color w:val="000000"/>
          <w:sz w:val="24"/>
        </w:rP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tool_/result/$historyId.tsx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would have required substantially more glue in a Next.js setup.</w:t>
      </w:r>
    </w:p>
    <w:p>
      <w:pPr>
        <w:pStyle w:val="BodyText"/>
        <w:spacing w:line="312" w:lineRule="auto" w:after="80"/>
        <w:ind w:firstLine="283"/>
        <w:jc w:val="both"/>
      </w:pPr>
      <w:r>
        <w:rPr>
          <w:rFonts w:ascii="Times New Roman" w:hAnsi="Times New Roman" w:eastAsia="Times New Roman" w:cs="Times New Roman"/>
          <w:color w:val="000000"/>
          <w:sz w:val="24"/>
        </w:rPr>
        <w:t xml:space="preserve">The deployment stack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2.3 Backend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312" w:lineRule="auto" w:after="80"/>
        <w:ind w:firstLine="283"/>
        <w:jc w:val="both"/>
      </w:pPr>
      <w:r>
        <w:rPr>
          <w:rFonts w:ascii="Times New Roman" w:hAnsi="Times New Roman" w:eastAsia="Times New Roman" w:cs="Times New Roman"/>
          <w:color w:val="000000"/>
          <w:sz w:val="24"/>
        </w:rPr>
        <w:t xml:space="preserve">2.3.1 Routers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domain has its own router file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google_auth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job_posts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career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cover_letter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portfolio</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files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health</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telemetry</w:t>
      </w:r>
      <w:r>
        <w:rPr>
          <w:rFonts w:ascii="Times New Roman" w:hAnsi="Times New Roman" w:eastAsia="Times New Roman" w:cs="Times New Roman"/>
          <w:color w:val="000000"/>
          <w:sz w:val="24"/>
        </w:rPr>
        <w:t xml:space="preserve">. All routers are mounted under the API prefix</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Routers are deliberately thin: they parse and validate the request body via the corresponding Pydantic schema, resolve dependencies (current user, database session), invoke the relevant service function, and return the response. Keeping routers thin makes the tool services and the shared pipeline the main units of behaviour, and means that a new endpoint typically requires only a new prompt module and a service function rather than any router-level plumbing.</w:t>
      </w:r>
    </w:p>
    <w:bookmarkEnd w:id="41"/>
    <w:bookmarkStart w:id="45" w:name="the-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six functional tools share a single cross-cutting pipeline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exposed as the asynchronous function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Every tool router invokes this pipeline rather than calling the tool service directly. The pipeline has six stages, executed in order (Figure 2.2):</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the job description (if any), and any feedback string are passed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sanitize_user_input</w:t>
      </w:r>
      <w:r>
        <w:rPr>
          <w:rFonts w:ascii="Times New Roman" w:hAnsi="Times New Roman" w:eastAsia="Times New Roman" w:cs="Times New Roman"/>
          <w:color w:val="000000"/>
          <w:sz w:val="24"/>
        </w:rPr>
        <w:t xml:space="preserve">, which strips control characters, normalises whitespace, and bounds the input length. This is a defence-in-depth measure against prompt-injection-style payloads embedded in resumes.</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service function is invoked. Each tool service is a coroutine that returns a fully populated response dictionary.</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is built from the persisted record, including the history identifier and the access mode.</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spacing w:line="312" w:lineRule="auto" w:after="80"/>
        <w:ind w:firstLine="283"/>
        <w:jc w:val="both"/>
      </w:pPr>
      <w:r>
        <w:rPr>
          <w:rFonts w:ascii="Times New Roman" w:hAnsi="Times New Roman" w:eastAsia="Times New Roman" w:cs="Times New Roman"/>
          <w:color w:val="000000"/>
          <w:sz w:val="24"/>
        </w:rP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That refactor is small in lines but is the single architectural change that has saved the most engineering effort across the project; it is also the reason why the regeneration path needed no special-case handling, because regeneration is just another pipeline call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w:t>
      </w:r>
    </w:p>
    <w:bookmarkEnd w:id="45"/>
    <w:bookmarkStart w:id="46" w:name="tool-services-and-prompt-builders"/>
    <w:p>
      <w:pPr>
        <w:pStyle w:val="Heading3"/>
        <w:spacing w:line="312" w:lineRule="auto" w:after="8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body of each tool’s logic lives in two files: a service module (</w:t>
      </w:r>
      <w:r>
        <w:rPr>
          <w:rStyle w:val="VerbatimChar"/>
          <w:rFonts w:ascii="Times New Roman" w:hAnsi="Times New Roman" w:eastAsia="Times New Roman" w:cs="Times New Roman"/>
          <w:color w:val="000000"/>
          <w:sz w:val="24"/>
        </w:rPr>
        <w:t xml:space="preserve">services/&lt;tool&gt;_*.py</w:t>
      </w:r>
      <w:r>
        <w:rPr>
          <w:rFonts w:ascii="Times New Roman" w:hAnsi="Times New Roman" w:eastAsia="Times New Roman" w:cs="Times New Roman"/>
          <w:color w:val="000000"/>
          <w:sz w:val="24"/>
        </w:rPr>
        <w:t xml:space="preserve">) and a prompt module (</w:t>
      </w:r>
      <w:r>
        <w:rPr>
          <w:rStyle w:val="VerbatimChar"/>
          <w:rFonts w:ascii="Times New Roman" w:hAnsi="Times New Roman" w:eastAsia="Times New Roman" w:cs="Times New Roman"/>
          <w:color w:val="000000"/>
          <w:sz w:val="24"/>
        </w:rPr>
        <w:t xml:space="preserve">prompts/&lt;tool&gt;.py</w:t>
      </w:r>
      <w:r>
        <w:rPr>
          <w:rFonts w:ascii="Times New Roman" w:hAnsi="Times New Roman" w:eastAsia="Times New Roman" w:cs="Times New Roman"/>
          <w:color w:val="000000"/>
          <w:sz w:val="24"/>
        </w:rPr>
        <w:t xml:space="preserve">). The service module orchestrates the heuristic prepass, builds the prompt by delegating to the prompt module, calls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obtain a validated JSON response from Gemini, and post-processes the result. The prompt module is responsible only for assembling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messages from the inputs and the heuristic prepass. Splitting these responsibilities keeps the prompt content under version control without coupling it to the service-orchestration code.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set in the runtime configuration (Section 4.2.9) or when the LLM path fails after exhausting the retry policy described in Section 3.1.1. Generative services do not attempt a heuristic substitute, because a deterministic cover letter or interview answer would be misleading; instead they raise a structured error that the frontend renders as a retry-able failure state.</w:t>
      </w:r>
    </w:p>
    <w:bookmarkEnd w:id="46"/>
    <w:bookmarkStart w:id="47" w:name="th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2.3.4 The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text the LLM is instructed to use as authoritative ground truth rather than to overwrite. This has two effects: it stabilises the LLM’s score against prompt-perturbation noise, and it makes the heuristic-only fallback (and the fully-heuristic mode reported in Chapter 4) implementable without a parallel codepath, because disabling the LLM call leaves the prepass payload as the response on its own.</w:t>
      </w:r>
    </w:p>
    <w:p>
      <w:r>
        <w:br w:type="page"/>
      </w:r>
    </w:p>
    <w:bookmarkEnd w:id="47"/>
    <w:bookmarkEnd w:id="48"/>
    <w:bookmarkStart w:id="52" w:name="front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2.4 Frontend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frontend is a single-page application served from a Railway service that lives in the same Railway project as the backend service; both share one external hostname through path-based routing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everything else). The deployment topology is described in detail in Section 2.7.</w:t>
      </w:r>
    </w:p>
    <w:bookmarkStart w:id="49" w:name="route-structure"/>
    <w:p>
      <w:pPr>
        <w:pStyle w:val="Heading3"/>
        <w:spacing w:line="312" w:lineRule="auto" w:after="80"/>
        <w:ind w:firstLine="283"/>
        <w:jc w:val="both"/>
      </w:pPr>
      <w:r>
        <w:rPr>
          <w:rFonts w:ascii="Times New Roman" w:hAnsi="Times New Roman" w:eastAsia="Times New Roman" w:cs="Times New Roman"/>
          <w:color w:val="000000"/>
          <w:sz w:val="24"/>
        </w:rPr>
        <w:t xml:space="preserve">2.4.1 Route structure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file-based. The route tree is generated at build time by TanStack Router. Each tool has a pair of routes: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input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example,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this workspace page contains the resume input, the job-description input where applicable, and per-tool animation, copy, and chips.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result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the page rendered after a tool run completes. The route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declares a layout split, and the dynamic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persistent identifier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on the backend.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addition, routes exist for the dashboard, account settings, login, password reset, history, and the small admin surface introduced in Chapter 4 for the runtime scoring-mode toggle.</w:t>
      </w:r>
    </w:p>
    <w:bookmarkEnd w:id="49"/>
    <w:bookmarkStart w:id="50" w:name="state-management"/>
    <w:p>
      <w:pPr>
        <w:pStyle w:val="Heading3"/>
        <w:spacing w:line="312" w:lineRule="auto" w:after="80"/>
        <w:ind w:firstLine="283"/>
        <w:jc w:val="both"/>
      </w:pPr>
      <w:r>
        <w:rPr>
          <w:rFonts w:ascii="Times New Roman" w:hAnsi="Times New Roman" w:eastAsia="Times New Roman" w:cs="Times New Roman"/>
          <w:color w:val="000000"/>
          <w:sz w:val="24"/>
        </w:rPr>
        <w:t xml:space="preserve">2.4.2 State management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Application state is partitioned into three scopes.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Server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Workflow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being carried between tools and the most recent tool result the user is referencing) is held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through small custom hooks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Workflow state is tab-scoped by design: opening the same site in a second tab does not share workflow context, which prevents accidental cross-talk between unrelated tool runs.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Component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(input values, sheet open/closed flags, animation timing) is local to each component and uses standard React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useReducer</w:t>
      </w:r>
      <w:r>
        <w:rPr>
          <w:rFonts w:ascii="Times New Roman" w:hAnsi="Times New Roman" w:eastAsia="Times New Roman" w:cs="Times New Roman"/>
          <w:color w:val="000000"/>
          <w:sz w:val="24"/>
        </w:rPr>
        <w:t xml:space="preserve">.</w:t>
      </w:r>
    </w:p>
    <w:bookmarkEnd w:id="50"/>
    <w:bookmarkStart w:id="51" w:name="layout-shell-and-navigation"/>
    <w:p>
      <w:pPr>
        <w:pStyle w:val="Heading3"/>
        <w:spacing w:line="312" w:lineRule="auto" w:after="8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application shell consists of a dark sidebar and topbar with a light content area; there is no dark-mode toggle. The sidebar groups the six tools into three semantic clusters,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Job 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 Letter, Interview Q&amp;A),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Path, Portfolio), to reduce the cognitive load of navigation. On mobile breakpoints, the sidebar collapses into a bottom tab bar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and a tools sheet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All tool metadata that drives the sidebar, the dashboard cards, and the tools-sheet grid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 new tool can be exposed across the entire UI with a single registry entry.</w:t>
      </w:r>
    </w:p>
    <w:bookmarkEnd w:id="51"/>
    <w:bookmarkEnd w:id="52"/>
    <w:bookmarkStart w:id="53" w:name="data-model-and-persistence"/>
    <w:p>
      <w:pPr>
        <w:pStyle w:val="Heading2"/>
        <w:spacing w:line="312" w:lineRule="auto" w:after="8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persistence model contains three primary tables, summarised in Table 2.3.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2.3: Primary persistence tables. The schema is intentionally narrow: every row in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tool_runs</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is the unit of audit and history, and the regeneration parent pointer plus the linked-context list together carry the workflow graph without requiring an additional table.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Table</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Purpose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Key columns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users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One row per registered account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tool_runs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One row per tool invocation that the system chose to persist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workspaces</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Optional grouping of tool runs around a single role search</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design choices on the data model deserve note.</w:t>
      </w:r>
    </w:p>
    <w:p>
      <w:pPr>
        <w:pStyle w:val="BodyText"/>
        <w:spacing w:line="312" w:lineRule="auto" w:after="80"/>
        <w:ind w:firstLine="283"/>
        <w:jc w:val="both"/>
      </w:pPr>
      <w:r>
        <w:rPr>
          <w:rFonts w:ascii="Times New Roman" w:hAnsi="Times New Roman" w:eastAsia="Times New Roman" w:cs="Times New Roman"/>
          <w:color w:val="000000"/>
          <w:sz w:val="24"/>
        </w:rPr>
        <w:t xml:space="preserve">First,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regeneration never overwrites</w:t>
      </w:r>
      <w:r>
        <w:rPr>
          <w:rFonts w:ascii="Times New Roman" w:hAnsi="Times New Roman" w:eastAsia="Times New Roman" w:cs="Times New Roman"/>
          <w:color w:val="000000"/>
          <w:sz w:val="24"/>
        </w:rPr>
        <w:t xml:space="preserve">. A regenerated tool run is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This produces a complete audit trail of the user’s iteration on any single piece of analytical work, and supports rolling back a result that the user found less useful than its predecessor.</w:t>
      </w:r>
    </w:p>
    <w:p>
      <w:pPr>
        <w:pStyle w:val="BodyText"/>
        <w:spacing w:line="312" w:lineRule="auto" w:after="80"/>
        <w:ind w:firstLine="283"/>
        <w:jc w:val="both"/>
      </w:pPr>
      <w:r>
        <w:rPr>
          <w:rFonts w:ascii="Times New Roman" w:hAnsi="Times New Roman" w:eastAsia="Times New Roman" w:cs="Times New Roman"/>
          <w:color w:val="000000"/>
          <w:sz w:val="24"/>
        </w:rPr>
        <w:t xml:space="preserve">Second,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guest tool runs are never persisted to the database</w:t>
      </w:r>
      <w:r>
        <w:rPr>
          <w:rFonts w:ascii="Times New Roman" w:hAnsi="Times New Roman" w:eastAsia="Times New Roman" w:cs="Times New Roman"/>
          <w:color w:val="000000"/>
          <w:sz w:val="24"/>
        </w:rP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records the prior run it depended on. This produces a small graph of tool usage that the History page renders as a workflow chain rather than a flat reverse-chronological list, without requiring a separate workflow engine, queue, or state machine on the backend.</w:t>
      </w:r>
    </w:p>
    <w:bookmarkEnd w:id="53"/>
    <w:bookmarkStart w:id="54" w:name="authentication-and-security"/>
    <w:p>
      <w:pPr>
        <w:pStyle w:val="Heading2"/>
        <w:spacing w:line="312" w:lineRule="auto" w:after="8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Authentication uses JSON Web Tokens carried in HttpOnly cookies. There are two cookies: a 30-minute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access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and a 7-day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The access token carries the user identifier and is validated on every protected request through a FastAPI dependency. The refresh token is sent only to a single endpoint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and is rotated on every successful refresh; the previous refresh token is invalidated atomically with the issue of the new pair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No CSRF tokens are issued, because the API accepts only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application/json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request bodies and the SameSite policy is sufficient against the threat model.</w:t>
      </w:r>
    </w:p>
    <w:p>
      <w:pPr>
        <w:pStyle w:val="BodyText"/>
        <w:spacing w:line="312" w:lineRule="auto" w:after="80"/>
        <w:ind w:firstLine="283"/>
        <w:jc w:val="both"/>
      </w:pPr>
      <w:r>
        <w:rPr>
          <w:rFonts w:ascii="Times New Roman" w:hAnsi="Times New Roman" w:eastAsia="Times New Roman" w:cs="Times New Roman"/>
          <w:color w:val="000000"/>
          <w:sz w:val="24"/>
        </w:rPr>
        <w:t xml:space="preserve">Federated login is supported through Google OAuth using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library. Password reset is implemented through a single-use token sent by Resend; the token is bound to a hash of the user’s current password hash, so a successful reset implicitly invalidates earlier reset tokens.</w:t>
      </w:r>
    </w:p>
    <w:p>
      <w:pPr>
        <w:pStyle w:val="BodyText"/>
        <w:spacing w:line="312" w:lineRule="auto" w:after="80"/>
        <w:ind w:firstLine="283"/>
        <w:jc w:val="both"/>
      </w:pPr>
      <w:r>
        <w:rPr>
          <w:rFonts w:ascii="Times New Roman" w:hAnsi="Times New Roman" w:eastAsia="Times New Roman" w:cs="Times New Roman"/>
          <w:color w:val="000000"/>
          <w:sz w:val="24"/>
        </w:rPr>
        <w:t xml:space="preserve">Beyond authentication, three additional security measures are worth noting. Inputs are sanitised before reaching any prompt builder (Section 2.3.2). Disposable-email domains are blocklisted at signup. Rate limiting is enforced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with stricter limits on login and password-reset endpoints than on the tool endpoints, so that brute-force attempts on credentials are rate-controlled independently of the tool-traffic envelope.</w:t>
      </w:r>
    </w:p>
    <w:bookmarkEnd w:id="54"/>
    <w:bookmarkStart w:id="58" w:name="deployment-topology"/>
    <w:p>
      <w:pPr>
        <w:pStyle w:val="Heading2"/>
        <w:spacing w:line="312" w:lineRule="auto" w:after="80"/>
        <w:ind w:firstLine="283"/>
        <w:jc w:val="both"/>
      </w:pPr>
      <w:r>
        <w:rPr>
          <w:rFonts w:ascii="Times New Roman" w:hAnsi="Times New Roman" w:eastAsia="Times New Roman" w:cs="Times New Roman"/>
          <w:color w:val="000000"/>
          <w:sz w:val="24"/>
        </w:rPr>
        <w:t xml:space="preserve">2.7 Deployment topology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production deployment runs as a single Railway project containing two application services (frontend and backend) plus a managed PostgreSQL add-on (Figure 2.3).</w:t>
      </w:r>
    </w:p>
    <w:p>
      <w:pPr>
        <w:pStyle w:val="CaptionedFigure"/>
        <w:keepNext/>
        <w:spacing w:before="60" w:after="40"/>
        <w:jc w:val="center"/>
      </w:pPr>
      <w:r>
        <w:drawing>
          <wp:inline>
            <wp:extent cx="4031999" cy="279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4031999" cy="2799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312" w:lineRule="auto" w:after="80"/>
        <w:ind w:firstLine="283"/>
        <w:jc w:val="both"/>
      </w:pPr>
      <w:r>
        <w:rPr>
          <w:rFonts w:ascii="Times New Roman" w:hAnsi="Times New Roman" w:eastAsia="Times New Roman" w:cs="Times New Roman"/>
          <w:color w:val="000000"/>
          <w:sz w:val="24"/>
        </w:rP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spacing w:line="312" w:lineRule="auto" w:after="80"/>
        <w:ind w:firstLine="283"/>
        <w:jc w:val="both"/>
      </w:pPr>
      <w:r>
        <w:rPr>
          <w:rFonts w:ascii="Times New Roman" w:hAnsi="Times New Roman" w:eastAsia="Times New Roman" w:cs="Times New Roman"/>
          <w:color w:val="000000"/>
          <w:sz w:val="24"/>
        </w:rPr>
        <w:t xml:space="preserve">Continuous deployment is wired to a single branch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Pushing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development checkpoint; promoting a commit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spacing w:line="312" w:lineRule="auto" w:after="80"/>
        <w:ind w:firstLine="283"/>
        <w:jc w:val="both"/>
      </w:pPr>
      <w:r>
        <w:rPr>
          <w:rFonts w:ascii="Times New Roman" w:hAnsi="Times New Roman" w:eastAsia="Times New Roman" w:cs="Times New Roman"/>
          <w:color w:val="000000"/>
          <w:sz w:val="24"/>
        </w:rPr>
        <w:t xml:space="preserve">The Railway choice was driven by the desire for a unified deployment surface. Serving the frontend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backend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a single hostname collapses the entire system into one domain, which removes an entire class of CORS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w:t>
      </w:r>
      <w:r>
        <w:rPr>
          <w:rFonts w:ascii="Times New Roman" w:hAnsi="Times New Roman" w:eastAsia="Times New Roman" w:cs="Times New Roman"/>
          <w:color w:val="000000"/>
          <w:sz w:val="24"/>
        </w:rP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spacing w:line="312" w:lineRule="auto" w:after="80"/>
        <w:ind w:firstLine="283"/>
        <w:jc w:val="both"/>
      </w:pPr>
      <w:r>
        <w:rPr>
          <w:rFonts w:ascii="Times New Roman" w:hAnsi="Times New Roman" w:eastAsia="Times New Roman" w:cs="Times New Roman"/>
          <w:color w:val="000000"/>
          <w:sz w:val="24"/>
        </w:rPr>
        <w:t xml:space="preserve">The single-origin deployment is also directly relevant to authentication. HttpOnly cookies are simpler to configure when the SPA and the API share one origin, and path-based routing avoids the browser-policy complexity that would arise from maintaining separate frontend and backend domains under different cookie scopes. For a larger product this architecture could be split later — for example, a multi-region frontend with a regional API tier — but doing so during the thesis would have added operational risk without strengthening the research result reported in Chapter 4.</w:t>
      </w:r>
    </w:p>
    <w:p>
      <w:pPr>
        <w:pStyle w:val="BodyText"/>
        <w:spacing w:line="312" w:lineRule="auto" w:after="80"/>
        <w:ind w:firstLine="283"/>
        <w:jc w:val="both"/>
      </w:pPr>
      <w:r>
        <w:rPr>
          <w:rFonts w:ascii="Times New Roman" w:hAnsi="Times New Roman" w:eastAsia="Times New Roman" w:cs="Times New Roman"/>
          <w:color w:val="000000"/>
          <w:sz w:val="24"/>
        </w:rPr>
        <w:t xml:space="preserve">The next chapter details the implementation of each of the six tools that this architecture supports.</w:t>
      </w:r>
    </w:p>
    <w:bookmarkEnd w:id="58"/>
    <w:bookmarkEnd w:id="59"/>
    <w:bookmarkStart w:id="85" w:name="chapter-3-tool-implementations"/>
    <w:p>
      <w:pPr>
        <w:pStyle w:val="Heading1"/>
        <w:spacing w:line="312" w:lineRule="auto" w:after="8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312" w:lineRule="auto" w:after="8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5" w:name="cross-cutting-design"/>
    <w:p>
      <w:pPr>
        <w:pStyle w:val="Heading2"/>
        <w:spacing w:line="312" w:lineRule="auto" w:after="8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312" w:lineRule="auto" w:after="8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requests JSON output, and returns a parsed Python dictionary.</w:t>
      </w:r>
    </w:p>
    <w:p>
      <w:pPr>
        <w:pStyle w:val="BodyText"/>
        <w:spacing w:line="312" w:lineRule="auto" w:after="8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312" w:lineRule="auto" w:after="80"/>
        <w:ind w:firstLine="283"/>
        <w:jc w:val="both"/>
      </w:pPr>
      <w:r>
        <w:rPr>
          <w:rFonts w:ascii="Times New Roman" w:hAnsi="Times New Roman" w:eastAsia="Times New Roman" w:cs="Times New Roman"/>
          <w:color w:val="000000"/>
          <w:sz w:val="24"/>
        </w:rPr>
        <w:t xml:space="preserve">The 5, 10, 20, and 40 second retry schedule was selected after early testing; a shorter 2–4–8–16 schedule often retried before the upstream transient error had cleared.</w:t>
      </w:r>
    </w:p>
    <w:bookmarkEnd w:id="60"/>
    <w:bookmarkStart w:id="61" w:name="the-locked-payload-prompt-pattern"/>
    <w:p>
      <w:pPr>
        <w:pStyle w:val="Heading3"/>
        <w:spacing w:line="312" w:lineRule="auto" w:after="8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The backend then recomputes the final score from the deterministic prepass and the returned LLM score breakdown, so the deployed response does not rely on the model to preserve arithmetic correctly.</w:t>
      </w:r>
    </w:p>
    <w:bookmarkEnd w:id="61"/>
    <w:bookmarkStart w:id="62" w:name="pydantic-validated-structured-output"/>
    <w:p>
      <w:pPr>
        <w:pStyle w:val="Heading3"/>
        <w:spacing w:line="312" w:lineRule="auto" w:after="80"/>
        <w:ind w:firstLine="283"/>
        <w:jc w:val="both"/>
      </w:pPr>
      <w:r>
        <w:rPr>
          <w:rFonts w:ascii="Times New Roman" w:hAnsi="Times New Roman" w:eastAsia="Times New Roman" w:cs="Times New Roman"/>
          <w:color w:val="000000"/>
          <w:sz w:val="24"/>
        </w:rPr>
        <w:t xml:space="preserve">3.1.3 Pydantic-validated structured output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API response returned from a tool router is validated against a Pydantic response model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frontend mirrors those response contracts with Zod schemas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validates responses before rendering. The two schema files are kept aligned by tests and code review rather than by code generation, which is adequate for the small number of response shapes in this project. Gemini itself is asked for JSON output, but the backend treats the model response as untrusted: service-level normalisation fills missing fields, drops invalid enum values, and falls back to deterministic heuristic content when the analytical LLM call fails.</w:t>
      </w:r>
    </w:p>
    <w:bookmarkEnd w:id="62"/>
    <w:bookmarkStart w:id="63" w:name="fallback-policy"/>
    <w:p>
      <w:pPr>
        <w:pStyle w:val="Heading3"/>
        <w:spacing w:line="312" w:lineRule="auto" w:after="80"/>
        <w:ind w:firstLine="283"/>
        <w:jc w:val="both"/>
      </w:pPr>
      <w:r>
        <w:rPr>
          <w:rFonts w:ascii="Times New Roman" w:hAnsi="Times New Roman" w:eastAsia="Times New Roman" w:cs="Times New Roman"/>
          <w:color w:val="000000"/>
          <w:sz w:val="24"/>
        </w:rPr>
        <w:t xml:space="preserve">3.1.4 Fallback policy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312" w:lineRule="auto" w:after="8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 and the runtime mode toggle of Section 4.2.9 is the smallest possible UI surface on top of that mechanism.</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spacing w:line="312" w:lineRule="auto" w:after="80"/>
        <w:ind w:firstLine="283"/>
        <w:jc w:val="both"/>
      </w:pPr>
      <w:r>
        <w:rPr>
          <w:rFonts w:ascii="Times New Roman" w:hAnsi="Times New Roman" w:eastAsia="Times New Roman" w:cs="Times New Roman"/>
          <w:color w:val="000000"/>
          <w:sz w:val="24"/>
        </w:rPr>
        <w:t xml:space="preserve">3.1.5 Caching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Section 5.3 documents the Redis-backed shared cache as the planned operational upgrade.</w:t>
      </w:r>
    </w:p>
    <w:bookmarkEnd w:id="64"/>
    <w:bookmarkEnd w:id="65"/>
    <w:bookmarkStart w:id="69" w:name="resume-analyzer"/>
    <w:p>
      <w:pPr>
        <w:pStyle w:val="Heading2"/>
        <w:spacing w:line="312" w:lineRule="auto" w:after="80"/>
        <w:ind w:firstLine="283"/>
        <w:jc w:val="both"/>
      </w:pPr>
      <w:r>
        <w:rPr>
          <w:rFonts w:ascii="Times New Roman" w:hAnsi="Times New Roman" w:eastAsia="Times New Roman" w:cs="Times New Roman"/>
          <w:color w:val="000000"/>
          <w:sz w:val="24"/>
        </w:rPr>
        <w:t xml:space="preserve">3.2 Resume Analyzer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spacing w:line="312" w:lineRule="auto" w:after="80"/>
        <w:ind w:firstLine="283"/>
        <w:jc w:val="both"/>
      </w:pPr>
      <w:r>
        <w:rPr>
          <w:rFonts w:ascii="Times New Roman" w:hAnsi="Times New Roman" w:eastAsia="Times New Roman" w:cs="Times New Roman"/>
          <w:color w:val="000000"/>
          <w:sz w:val="24"/>
        </w:rPr>
        <w:t xml:space="preserve">3.2.1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request body contains the raw resume text (free-form, minimum 50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6"/>
    <w:bookmarkStart w:id="67" w:nam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3.2.2 Heuristic prepass</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[8, 9, 12].</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7"/>
    <w:bookmarkStart w:id="68" w:name="prompt-and-post-processing"/>
    <w:p>
      <w:pPr>
        <w:pStyle w:val="Heading3"/>
        <w:spacing w:line="312" w:lineRule="auto" w:after="8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beyond the configured confidence-gap threshold (18 points for v2, 20 points for v1),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estimates disagreed.</w:t>
      </w:r>
    </w:p>
    <w:bookmarkEnd w:id="68"/>
    <w:bookmarkEnd w:id="69"/>
    <w:bookmarkStart w:id="73" w:name="job-match"/>
    <w:p>
      <w:pPr>
        <w:pStyle w:val="Heading2"/>
        <w:spacing w:line="312" w:lineRule="auto" w:after="80"/>
        <w:ind w:firstLine="283"/>
        <w:jc w:val="both"/>
      </w:pPr>
      <w:r>
        <w:rPr>
          <w:rFonts w:ascii="Times New Roman" w:hAnsi="Times New Roman" w:eastAsia="Times New Roman" w:cs="Times New Roman"/>
          <w:color w:val="000000"/>
          <w:sz w:val="24"/>
        </w:rPr>
        <w:t xml:space="preserve">3.3 Job Match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70" w:name="input-contract-1"/>
    <w:p>
      <w:pPr>
        <w:pStyle w:val="Heading3"/>
        <w:spacing w:line="312" w:lineRule="auto" w:after="80"/>
        <w:ind w:firstLine="283"/>
        <w:jc w:val="both"/>
      </w:pPr>
      <w:r>
        <w:rPr>
          <w:rFonts w:ascii="Times New Roman" w:hAnsi="Times New Roman" w:eastAsia="Times New Roman" w:cs="Times New Roman"/>
          <w:color w:val="000000"/>
          <w:sz w:val="24"/>
        </w:rPr>
        <w:t xml:space="preserve">3.3.1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spacing w:line="312" w:lineRule="auto" w:after="80"/>
        <w:ind w:firstLine="283"/>
        <w:jc w:val="both"/>
      </w:pPr>
      <w:r>
        <w:rPr>
          <w:rFonts w:ascii="Times New Roman" w:hAnsi="Times New Roman" w:eastAsia="Times New Roman" w:cs="Times New Roman"/>
          <w:color w:val="000000"/>
          <w:sz w:val="24"/>
        </w:rPr>
        <w:t xml:space="preserve">3.3.2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1"/>
    <w:bookmarkStart w:id="72" w:name="prompt-and-post-processing-1"/>
    <w:p>
      <w:pPr>
        <w:pStyle w:val="Heading3"/>
        <w:spacing w:line="312" w:lineRule="auto" w:after="8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312" w:lineRule="auto" w:after="80"/>
        <w:ind w:firstLine="283"/>
        <w:jc w:val="both"/>
      </w:pPr>
      <w:r>
        <w:rPr>
          <w:rFonts w:ascii="Times New Roman" w:hAnsi="Times New Roman" w:eastAsia="Times New Roman" w:cs="Times New Roman"/>
          <w:color w:val="000000"/>
          <w:sz w:val="24"/>
        </w:rPr>
        <w:t xml:space="preserve">Because the deterministic match score is computed outside the LLM response, the model cannot change the final score returned by the backend. This preserves comparability across regenerations and makes the fully-heuristic mode of Chapter 4 a substitution of the scoring path rather than a separate response contract.</w:t>
      </w:r>
    </w:p>
    <w:p>
      <w:r>
        <w:br w:type="page"/>
      </w:r>
    </w:p>
    <w:bookmarkEnd w:id="72"/>
    <w:bookmarkEnd w:id="73"/>
    <w:bookmarkStart w:id="76" w:name="career-path"/>
    <w:p>
      <w:pPr>
        <w:pStyle w:val="Heading2"/>
        <w:spacing w:line="312" w:lineRule="auto" w:after="80"/>
        <w:ind w:firstLine="283"/>
        <w:jc w:val="both"/>
      </w:pPr>
      <w:r>
        <w:rPr>
          <w:rFonts w:ascii="Times New Roman" w:hAnsi="Times New Roman" w:eastAsia="Times New Roman" w:cs="Times New Roman"/>
          <w:color w:val="000000"/>
          <w:sz w:val="24"/>
        </w:rPr>
        <w:t xml:space="preserve">3.4 Career Path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4" w:name="heuristic-prepass-2"/>
    <w:p>
      <w:pPr>
        <w:pStyle w:val="Heading3"/>
        <w:spacing w:line="312" w:lineRule="auto" w:after="80"/>
        <w:ind w:firstLine="283"/>
        <w:jc w:val="both"/>
      </w:pPr>
      <w:r>
        <w:rPr>
          <w:rFonts w:ascii="Times New Roman" w:hAnsi="Times New Roman" w:eastAsia="Times New Roman" w:cs="Times New Roman"/>
          <w:color w:val="000000"/>
          <w:sz w:val="24"/>
        </w:rPr>
        <w:t xml:space="preserve">3.4.1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312" w:lineRule="auto" w:after="8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spacing w:line="312" w:lineRule="auto" w:after="8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spacing w:line="312" w:lineRule="auto" w:after="80"/>
        <w:ind w:firstLine="283"/>
        <w:jc w:val="both"/>
      </w:pPr>
      <w:r>
        <w:rPr>
          <w:rFonts w:ascii="Times New Roman" w:hAnsi="Times New Roman" w:eastAsia="Times New Roman" w:cs="Times New Roman"/>
          <w:color w:val="000000"/>
          <w:sz w:val="24"/>
        </w:rPr>
        <w:t xml:space="preserve">3.5 Cover Letter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spacing w:line="312" w:lineRule="auto" w:after="8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7"/>
    <w:bookmarkEnd w:id="78"/>
    <w:bookmarkStart w:id="80" w:name="interview-qa"/>
    <w:p>
      <w:pPr>
        <w:pStyle w:val="Heading2"/>
        <w:spacing w:line="312" w:lineRule="auto" w:after="80"/>
        <w:ind w:firstLine="283"/>
        <w:jc w:val="both"/>
      </w:pPr>
      <w:r>
        <w:rPr>
          <w:rFonts w:ascii="Times New Roman" w:hAnsi="Times New Roman" w:eastAsia="Times New Roman" w:cs="Times New Roman"/>
          <w:color w:val="000000"/>
          <w:sz w:val="24"/>
        </w:rPr>
        <w:t xml:space="preserve">3.6 Interview Q&amp;A</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9" w:name="prompt-and-post-processing-4"/>
    <w:p>
      <w:pPr>
        <w:pStyle w:val="Heading3"/>
        <w:spacing w:line="312" w:lineRule="auto" w:after="8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312" w:lineRule="auto" w:after="8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Gemini and may override the default model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This is the only place in the system where a model override is wired, because practice feedback can be invoked repeatedly during a single user session.</w:t>
      </w:r>
    </w:p>
    <w:bookmarkEnd w:id="79"/>
    <w:bookmarkEnd w:id="80"/>
    <w:bookmarkStart w:id="82" w:name="portfolio-planner"/>
    <w:p>
      <w:pPr>
        <w:pStyle w:val="Heading2"/>
        <w:spacing w:line="312" w:lineRule="auto" w:after="80"/>
        <w:ind w:firstLine="283"/>
        <w:jc w:val="both"/>
      </w:pPr>
      <w:r>
        <w:rPr>
          <w:rFonts w:ascii="Times New Roman" w:hAnsi="Times New Roman" w:eastAsia="Times New Roman" w:cs="Times New Roman"/>
          <w:color w:val="000000"/>
          <w:sz w:val="24"/>
        </w:rPr>
        <w:t xml:space="preserve">3.7 Portfolio Planner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spacing w:line="312" w:lineRule="auto" w:after="8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spacing w:line="312" w:lineRule="auto" w:after="8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spacing w:line="312" w:lineRule="auto" w:after="8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production traffic during the development period, the analytical tools (Resume Analyzer, Job Match) exhibited a heuristic-only fallback rate below one percent of all calls; the LLM-call retry policy (Section 3.1.1) absorbed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in Section 3.6.1 was introduced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spacing w:line="312" w:lineRule="auto" w:after="8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spacing w:line="312" w:lineRule="auto" w:after="8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spacing w:line="312" w:lineRule="auto" w:after="80"/>
        <w:ind w:firstLine="283"/>
        <w:jc w:val="both"/>
      </w:pPr>
      <w:r>
        <w:rPr>
          <w:rFonts w:ascii="Times New Roman" w:hAnsi="Times New Roman" w:eastAsia="Times New Roman" w:cs="Times New Roman"/>
          <w:color w:val="000000"/>
          <w:sz w:val="24"/>
        </w:rPr>
        <w:t xml:space="preserve">4.1 Methodology</w:t>
      </w:r>
    </w:p>
    <w:bookmarkStart w:id="86" w:name="evaluation-dataset"/>
    <w:p>
      <w:pPr>
        <w:pStyle w:val="Heading3"/>
        <w:spacing w:line="312" w:lineRule="auto" w:after="80"/>
        <w:ind w:firstLine="283"/>
        <w:jc w:val="both"/>
      </w:pPr>
      <w:r>
        <w:rPr>
          <w:rFonts w:ascii="Times New Roman" w:hAnsi="Times New Roman" w:eastAsia="Times New Roman" w:cs="Times New Roman"/>
          <w:color w:val="000000"/>
          <w:sz w:val="24"/>
        </w:rPr>
        <w:t xml:space="preserve">4.1.1 Evaluation dataset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312" w:lineRule="auto" w:after="8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share negligible content vocabulary (per-track residual overlap of 0–6 tokens), with per-pair overlap bounded as reported in Section 4.1.4.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312" w:lineRule="auto" w:after="8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spacing w:line="312" w:lineRule="auto" w:after="80"/>
        <w:ind w:firstLine="283"/>
        <w:jc w:val="both"/>
      </w:pPr>
      <w:r>
        <w:rPr>
          <w:rFonts w:ascii="Times New Roman" w:hAnsi="Times New Roman" w:eastAsia="Times New Roman" w:cs="Times New Roman"/>
          <w:color w:val="000000"/>
          <w:sz w:val="24"/>
        </w:rPr>
        <w:t xml:space="preserve">4.1.2 Metrics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metric families are computed per pair.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is used as a practical interpretation anchor following Cohen’s conventional benchmarks for large effects in behavioural research [26], not as a formal hypothesis or a literature-derived pass/fail threshold.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87"/>
    <w:bookmarkStart w:id="88" w:name="controls"/>
    <w:p>
      <w:pPr>
        <w:pStyle w:val="Heading3"/>
        <w:spacing w:line="312" w:lineRule="auto" w:after="80"/>
        <w:ind w:firstLine="283"/>
        <w:jc w:val="both"/>
      </w:pPr>
      <w:r>
        <w:rPr>
          <w:rFonts w:ascii="Times New Roman" w:hAnsi="Times New Roman" w:eastAsia="Times New Roman" w:cs="Times New Roman"/>
          <w:color w:val="000000"/>
          <w:sz w:val="24"/>
        </w:rPr>
        <w:t xml:space="preserve">4.1.3 Controls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Three controls isolate the comparison.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before importing the application settings so that both modes use the same strong heuristic implementation. The remaining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client uses temperature 0.3, so sampling variance is not eliminated; it is bounded only by running one fixed dataset through one configured provider and by reporting the result as an implementation characterisation rather than a population estimate.</w:t>
      </w:r>
    </w:p>
    <w:bookmarkEnd w:id="88"/>
    <w:bookmarkStart w:id="89" w:name="threats-to-validity"/>
    <w:p>
      <w:pPr>
        <w:pStyle w:val="Heading3"/>
        <w:spacing w:line="312" w:lineRule="auto" w:after="80"/>
        <w:ind w:firstLine="283"/>
        <w:jc w:val="both"/>
      </w:pPr>
      <w:r>
        <w:rPr>
          <w:rFonts w:ascii="Times New Roman" w:hAnsi="Times New Roman" w:eastAsia="Times New Roman" w:cs="Times New Roman"/>
          <w:color w:val="000000"/>
          <w:sz w:val="24"/>
        </w:rPr>
        <w:t xml:space="preserve">4.1.4 Threats to validity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backend stores the blended and heuristic scores produced by this formula,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[28] 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312" w:lineRule="auto" w:after="8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312" w:lineRule="auto" w:after="80"/>
        <w:ind w:firstLine="283"/>
        <w:jc w:val="both"/>
      </w:pPr>
      <w:r>
        <w:rPr>
          <w:rFonts w:ascii="Times New Roman" w:hAnsi="Times New Roman" w:eastAsia="Times New Roman" w:cs="Times New Roman"/>
          <w:color w:val="000000"/>
          <w:sz w:val="24"/>
        </w:rPr>
        <w:t xml:space="preserve">In Cook–Campbell terms [27]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the most consequential next step before any generalisation beyond the synthetic benchmark.</w:t>
      </w:r>
    </w:p>
    <w:p>
      <w:pPr>
        <w:pStyle w:val="BodyText"/>
        <w:spacing w:line="312" w:lineRule="auto" w:after="8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spacing w:line="312" w:lineRule="auto" w:after="8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spacing w:line="312" w:lineRule="auto" w:after="8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312" w:lineRule="auto" w:after="8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The final keyword-axis score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0.7 × weighted_keyword_score + 0.3 × min(100, BM25 × 4)</w:t>
      </w:r>
      <w:r>
        <w:rPr>
          <w:rFonts w:ascii="Times New Roman" w:hAnsi="Times New Roman" w:eastAsia="Times New Roman" w:cs="Times New Roman"/>
          <w:color w:val="000000"/>
          <w:sz w:val="24"/>
        </w:rPr>
        <w:t xml:space="preserve">, clamped to [0, 100]. Production uses a bundled ESCO-derived baseline IDF; the evaluation harness recomputes IDF from the job descriptions in the benchmark.</w:t>
      </w:r>
    </w:p>
    <w:bookmarkEnd w:id="91"/>
    <w:bookmarkStart w:id="92" w:name="esco-aligned-skill-normalisation"/>
    <w:p>
      <w:pPr>
        <w:pStyle w:val="Heading3"/>
        <w:spacing w:line="312" w:lineRule="auto" w:after="8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The bundled JSON contains 107 canonical digital and creative-industry skill entries and is structured for expansion to broader production coverage. Resume and job-description text are scanned for surface variants, mapped to canonical labels, and intersected.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spacing w:line="312" w:lineRule="auto" w:after="80"/>
        <w:ind w:firstLine="283"/>
        <w:jc w:val="both"/>
      </w:pPr>
      <w:r>
        <w:rPr>
          <w:rFonts w:ascii="Times New Roman" w:hAnsi="Times New Roman" w:eastAsia="Times New Roman" w:cs="Times New Roman"/>
          <w:color w:val="000000"/>
          <w:sz w:val="24"/>
        </w:rPr>
        <w:t xml:space="preserve">4.2.3 Fuzzy matching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skills or keywords outside the bundled ESCO subset, v2 applies a normalised string-similarity pass related to edit-distance matching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candidate phrase.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93"/>
    <w:bookmarkStart w:id="94" w:name="section-weighted-features"/>
    <w:p>
      <w:pPr>
        <w:pStyle w:val="Heading3"/>
        <w:spacing w:line="312" w:lineRule="auto" w:after="8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94"/>
    <w:bookmarkStart w:id="95" w:name="quantification-regex"/>
    <w:p>
      <w:pPr>
        <w:pStyle w:val="Heading3"/>
        <w:spacing w:line="312" w:lineRule="auto" w:after="80"/>
        <w:ind w:firstLine="283"/>
        <w:jc w:val="both"/>
      </w:pPr>
      <w:r>
        <w:rPr>
          <w:rFonts w:ascii="Times New Roman" w:hAnsi="Times New Roman" w:eastAsia="Times New Roman" w:cs="Times New Roman"/>
          <w:color w:val="000000"/>
          <w:sz w:val="24"/>
        </w:rPr>
        <w:t xml:space="preserve">4.2.5 Quantification regex</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spacing w:line="312" w:lineRule="auto" w:after="80"/>
        <w:ind w:firstLine="283"/>
        <w:jc w:val="both"/>
      </w:pPr>
      <w:r>
        <w:rPr>
          <w:rFonts w:ascii="Times New Roman" w:hAnsi="Times New Roman" w:eastAsia="Times New Roman" w:cs="Times New Roman"/>
          <w:color w:val="000000"/>
          <w:sz w:val="24"/>
        </w:rPr>
        <w:t xml:space="preserve">4.2.6 Action-verb scoring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clarity sub-score counts the fraction of bullets whose leading token belongs to an author-compiled action-verb dictionary of 190 entries (assembled from publicly available career-services word lists; the working list is archived in the project repository alongside the heuristic implementation).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96"/>
    <w:bookmarkStart w:id="97" w:name="score-combination"/>
    <w:p>
      <w:pPr>
        <w:pStyle w:val="Heading3"/>
        <w:spacing w:line="312" w:lineRule="auto" w:after="80"/>
        <w:ind w:firstLine="283"/>
        <w:jc w:val="both"/>
      </w:pPr>
      <w:r>
        <w:rPr>
          <w:rFonts w:ascii="Times New Roman" w:hAnsi="Times New Roman" w:eastAsia="Times New Roman" w:cs="Times New Roman"/>
          <w:color w:val="000000"/>
          <w:sz w:val="24"/>
        </w:rPr>
        <w:t xml:space="preserve">4.2.7 Score combination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The blended-mode 0.40/0.60 split is also an engineering choice rather than an optimised parameter: it keeps the default mode language-model-led while retaining a deterministic scoring floor. Section 4.3.5 reports an equal-weight sensitivity check for the heuristic sub-score weights.</w:t>
      </w:r>
    </w:p>
    <w:bookmarkEnd w:id="97"/>
    <w:bookmarkStart w:id="98" w:name="implementation-notes"/>
    <w:p>
      <w:pPr>
        <w:pStyle w:val="Heading3"/>
        <w:spacing w:line="312" w:lineRule="auto" w:after="80"/>
        <w:ind w:firstLine="283"/>
        <w:jc w:val="both"/>
      </w:pPr>
      <w:r>
        <w:rPr>
          <w:rFonts w:ascii="Times New Roman" w:hAnsi="Times New Roman" w:eastAsia="Times New Roman" w:cs="Times New Roman"/>
          <w:color w:val="000000"/>
          <w:sz w:val="24"/>
        </w:rPr>
        <w:t xml:space="preserve">4.2.8 Implementation notes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98"/>
    <w:bookmarkStart w:id="99" w:name="the-administrative-toggle"/>
    <w:p>
      <w:pPr>
        <w:pStyle w:val="Heading3"/>
        <w:spacing w:line="312" w:lineRule="auto" w:after="8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p>
      <w:r>
        <w:br w:type="page"/>
      </w:r>
    </w:p>
    <w:bookmarkEnd w:id="99"/>
    <w:bookmarkEnd w:id="100"/>
    <w:bookmarkStart w:id="112" w:name="results"/>
    <w:p>
      <w:pPr>
        <w:pStyle w:val="Heading2"/>
        <w:spacing w:line="312" w:lineRule="auto" w:after="80"/>
        <w:ind w:firstLine="283"/>
        <w:jc w:val="both"/>
      </w:pPr>
      <w:r>
        <w:rPr>
          <w:rFonts w:ascii="Times New Roman" w:hAnsi="Times New Roman" w:eastAsia="Times New Roman" w:cs="Times New Roman"/>
          <w:color w:val="000000"/>
          <w:sz w:val="24"/>
        </w:rPr>
        <w:t xml:space="preserve">4.3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101" w:name="score-agreement"/>
    <w:p>
      <w:pPr>
        <w:pStyle w:val="Heading3"/>
        <w:spacing w:line="312" w:lineRule="auto" w:after="80"/>
        <w:ind w:firstLine="283"/>
        <w:jc w:val="both"/>
      </w:pPr>
      <w:r>
        <w:rPr>
          <w:rFonts w:ascii="Times New Roman" w:hAnsi="Times New Roman" w:eastAsia="Times New Roman" w:cs="Times New Roman"/>
          <w:color w:val="000000"/>
          <w:sz w:val="24"/>
        </w:rPr>
        <w:t xml:space="preserve">4.3.1 Score agreement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Across the 100 (resume, job-description) pairs in the evaluation set, three rank- and value-agreement statistics are computed between the overall score in the blended mode and the overall score in the fully heuristic v2 mode: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Spearman ρ, and Kendall τ-b. Table 4.1 reports the post-mitigation values computed on the disjoint-vocabulary dataset described in Section 4.1.1 alongside the pre-mitigation values from the archived leakage-version run, for an explicit before/after comparison.</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4.1: Overall agreement between blended and fully heuristic modes (n = 100 pairs). Pearson confidence intervals are computed by cluster bootstrap on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with 2 000 resamples and seed = 42, addressing threat T3 of Section 4.1.4.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Post-mitigation (disjoint)</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Pre-mitigation (leakage version)</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Interpretation</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Pearson</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0.836</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[95% CI 0.762, 0.896]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0.727 [95% CI 0.609, 0.814]</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Linear association between mode scores.</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Spearman ρ</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0.847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0.708</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Rank agreement; the property most relevant to screening use.</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Kendall τ-b</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0.669</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0.526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Concordance-based rank agreement.</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breakdown in Table 4.2 explains the result: lexical leakage added noise to some non-keyword axes, while the disjoint construction preserved legitimate canonical skill overlap.</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4.2: Per-sub-score correlations between blended and heuristic-only modes, post-mitigation versus archived leakage version. Bold entries mark axes above the 0.7 practical interpretation anchor introduced in Section 4.1.2.</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1927"/>
        <w:gridCol w:w="1984"/>
        <w:gridCol w:w="1984"/>
        <w:gridCol w:w="1360"/>
        <w:gridCol w:w="1360"/>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Sub-score</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Post-mitigation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Pre-mitigation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Kendall τ-b</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Keywords</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0.937</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0.941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0.946</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0.845</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Impact</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0.561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0.447</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0.332</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Structure</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0.440</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0.865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0.804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Clarity</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0.395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0.373</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0.289</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Completeness</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0.756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0.691</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0.793</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0.689</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spacing w:line="312" w:lineRule="auto" w:after="8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spacing w:line="312" w:lineRule="auto" w:after="8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Because the heuristic prepass is exposed to the language model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the heuristic component of the blended score is invariant under the LLM call. The blended formula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therefore an exact identity, and the LLM-only score per pair is recoverable post-hoc from the blended and heuristic-only scores already reported in the manifest:</w:t>
      </w:r>
    </w:p>
    <w:p>
      <w:pPr>
        <w:pStyle w:val="BodyText"/>
        <w:spacing w:line="312" w:lineRule="auto" w:after="80"/>
        <w:ind w:firstLine="283"/>
        <w:jc w:val="both"/>
      </w:pPr>
      <w:r>
        <w:rPr>
          <w:rFonts w:ascii="Times New Roman" w:hAnsi="Times New Roman" w:eastAsia="Times New Roman" w:cs="Times New Roman"/>
          <w:color w:val="000000"/>
          <w:sz w:val="24"/>
        </w:rPr>
        <w:t xml:space="preserve">LLM-only = (blended − 0.4 × heuristic) / 0.6</w:t>
      </w:r>
    </w:p>
    <w:p>
      <w:pPr>
        <w:pStyle w:val="BodyText"/>
        <w:spacing w:line="312" w:lineRule="auto" w:after="80"/>
        <w:ind w:firstLine="283"/>
        <w:jc w:val="both"/>
      </w:pPr>
      <w:r>
        <w:rPr>
          <w:rFonts w:ascii="Times New Roman" w:hAnsi="Times New Roman" w:eastAsia="Times New Roman" w:cs="Times New Roman"/>
          <w:color w:val="000000"/>
          <w:sz w:val="24"/>
        </w:rPr>
        <w:t xml:space="preserve">This recovery requires no additional API calls; it is a deterministic algebraic transformation of the existing per-pair results. The Pearson correlation between the recovered LLM-only score and the heuristic-only score isolates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cross-mode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(what the language model and the classical-IR heuristic agree on) controlling for the structural component shared between the blended and heuristic-only modes by construction. Table 4.3 reports the three pairwise correlations with cluster-bootstrap confidence intervals.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4.3: Pairwise score correlations after LLM-only decomposition. Cluster bootstrap on resume identity, 2 000 resamples, seed = 42. The LLM-only column is recovered post-hoc from the locked-payload identity rather than from a second LLM rerun.</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Pair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95% CI (cluster bootstrap)</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Blended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0.836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[0.762, 0.896]</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0.847</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LLM-only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0.627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Blended vs LLM-only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0.952</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[0.923, 0.973]</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312" w:lineRule="auto" w:after="8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spacing w:line="312" w:lineRule="auto" w:after="80"/>
        <w:ind w:firstLine="283"/>
        <w:jc w:val="both"/>
      </w:pPr>
      <w:r>
        <w:rPr>
          <w:rFonts w:ascii="Times New Roman" w:hAnsi="Times New Roman" w:eastAsia="Times New Roman" w:cs="Times New Roman"/>
          <w:color w:val="000000"/>
          <w:sz w:val="24"/>
        </w:rPr>
        <w:t xml:space="preserve">4.3.2 Score distribution</w:t>
      </w:r>
    </w:p>
    <w:p>
      <w:pPr>
        <w:pStyle w:val="FirstParagraph"/>
        <w:keepLines/>
        <w:spacing w:line="312" w:lineRule="auto" w:after="80"/>
        <w:ind w:firstLine="0"/>
        <w:jc w:val="center"/>
      </w:pPr>
      <w:r>
        <w:rPr>
          <w:rFonts w:ascii="Times New Roman" w:hAnsi="Times New Roman" w:eastAsia="Times New Roman" w:cs="Times New Roman"/>
          <w:i/>
          <w:color w:val="000000"/>
          <w:sz w:val="24"/>
        </w:rPr>
        <w:t xml:space="preserve">Table 4.4 reports the per-mode score distribution statistics across all 100 pairs. The Kolmogorov–Smirnov distance between the two distributions complements the rank-correlation reading by reporting how differently the two modes spread the scores across the 0–100 range.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4.4: Overall score distribution per mode (n = 100 pairs). The KS distance compares the empirical cumulative distribution functions of the two modes; smaller values indicate more similar distributions.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Mean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71.84</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72.66</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Standard deviation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7.08</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73.00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74.50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58.00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59.00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81.00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82.00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KS distance vs other mode</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0.100</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0.100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indicating that the disjoint-pool regeneration also tightens the per-mode distribution overlap, not only the rank agreement. Figure 4.1 visualises the two distributions.</w:t>
      </w:r>
    </w:p>
    <w:p>
      <w:pPr>
        <w:pStyle w:val="BodyText"/>
        <w:keepNext/>
        <w:spacing w:before="60" w:after="40"/>
        <w:jc w:val="center"/>
      </w:pPr>
      <w:r>
        <w:drawing>
          <wp:inline>
            <wp:extent cx="4031999" cy="2851798"/>
            <wp:effectExtent b="0" l="0" r="0" t="0"/>
            <wp:docPr descr=""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4031999" cy="285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72.66, median 74.5). Bottom: blended mode (mean 71.84, median 73.0). The dashed vertical line marks the mean and the dotted vertical line marks the median in each panel.</w:t>
      </w:r>
    </w:p>
    <w:p>
      <w:r>
        <w:br w:type="page"/>
      </w:r>
    </w:p>
    <w:bookmarkEnd w:id="106"/>
    <w:bookmarkStart w:id="107" w:name="latency"/>
    <w:p>
      <w:pPr>
        <w:pStyle w:val="Heading3"/>
        <w:spacing w:line="312" w:lineRule="auto" w:after="80"/>
        <w:ind w:firstLine="283"/>
        <w:jc w:val="both"/>
      </w:pPr>
      <w:r>
        <w:rPr>
          <w:rFonts w:ascii="Times New Roman" w:hAnsi="Times New Roman" w:eastAsia="Times New Roman" w:cs="Times New Roman"/>
          <w:color w:val="000000"/>
          <w:sz w:val="24"/>
        </w:rPr>
        <w:t xml:space="preserve">4.3.3 Latency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Wall-clock service-side latency for a single tool invocation is summarised in Table 4.5. The blended-mode figure is dominated by the upstream Gemini structured-output inference call; the heuristic-only mode runs entirely as local string processing.</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4.5: Service-side latency for a single tool invocation, in milliseconds, with the per-row blended-to-heuristic ratio. The maximum-observed row reflects one transient LLM retry absorbed by the four-retry exponential-backoff policy described in Section 3.1.1.</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Metric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Blended (ms)</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Heuristic v2 (ms)</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Ratio</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18 232.1</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25.5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714×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24 713.7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32.1</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770×</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Maximum observed</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65 926.6</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34.1</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1 933×</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transient LLM retry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 The two-to-three-orders-of-magnitude latency gap is the operational rationale for keeping both modes runtime-switchable rather than committing to one path.</w:t>
      </w:r>
    </w:p>
    <w:bookmarkEnd w:id="107"/>
    <w:bookmarkStart w:id="108" w:name="per-call-cost"/>
    <w:p>
      <w:pPr>
        <w:pStyle w:val="Heading3"/>
        <w:spacing w:line="312" w:lineRule="auto" w:after="80"/>
        <w:ind w:firstLine="283"/>
        <w:jc w:val="both"/>
      </w:pPr>
      <w:r>
        <w:rPr>
          <w:rFonts w:ascii="Times New Roman" w:hAnsi="Times New Roman" w:eastAsia="Times New Roman" w:cs="Times New Roman"/>
          <w:color w:val="000000"/>
          <w:sz w:val="24"/>
        </w:rPr>
        <w:t xml:space="preserve">4.3.4 Per-call cost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 The blended run used an estimated 608 input tokens and 1 118 output tokens per call on average; Table 4.6 summarises the resulting per-call and projected monthly cost figures.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4.6: Per-call LLM-side cost, in US dollars, at the Vertex AI Gemini 2.5 Flash rates in effect at measurement time. The estimator follows the ~4-characters-per-token rule of thumb and does not include all server-side prompt overhead, so the figures are order-of-magnitude rather than billing-grade.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Average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$0.00038</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95th-percentile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$0.00042</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Projected monthly cost at 1 000 analyses/day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$11.43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Token counts are approximations following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~4 characters per token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scripts/recompute_eval_cost.py</w:t>
      </w:r>
      <w:r>
        <w:rPr>
          <w:rFonts w:ascii="Times New Roman" w:hAnsi="Times New Roman" w:eastAsia="Times New Roman" w:cs="Times New Roman"/>
          <w:color w:val="000000"/>
          <w:sz w:val="24"/>
        </w:rPr>
        <w:t xml:space="preserve">, which rebuilds the prompt for every pair without a second LLM call.</w:t>
      </w:r>
    </w:p>
    <w:p>
      <w:pPr>
        <w:pStyle w:val="BodyText"/>
        <w:spacing w:line="312" w:lineRule="auto" w:after="8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spacing w:line="312" w:lineRule="auto" w:after="8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 Table 4.7 reports the result.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4.7: Sensitivity of the blended-versus-heuristic agreement to the score-combination weights. The Δ row shows the absolute movement after switching from the author-selected weighting to equal weights.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Weighting</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Author-selected (0.30, 0.25, 0.15, 0.15, 0.15)</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0.836</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0.847</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Equal (0.20 across all five)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0.813</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0.823</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Δ</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−0.023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−0.024</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Pearson moves by Δ = −0.023 and Spearman by Δ = −0.024 after rounding to three decimals. Both remain above the practical 0.7 interpretation anchor, so the value-association result is not dependent on the exact heuristic sub-score weighting choice. The rank-agreement reading is similarly robust; the comparative claim of Section 4.3.1 is therefore weighting-invariant within this evaluation set rather than weighting-specific.</w:t>
      </w:r>
    </w:p>
    <w:bookmarkEnd w:id="109"/>
    <w:bookmarkStart w:id="110" w:name="heuristic-enhancement-ablation-stage-h"/>
    <w:p>
      <w:pPr>
        <w:pStyle w:val="Heading3"/>
        <w:spacing w:line="312" w:lineRule="auto" w:after="8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p>
      <w:pPr>
        <w:pStyle w:val="BodyText"/>
        <w:keepLines/>
        <w:spacing w:line="312" w:lineRule="auto" w:after="80"/>
        <w:ind w:firstLine="0"/>
        <w:jc w:val="center"/>
      </w:pPr>
      <w:r>
        <w:rPr>
          <w:rFonts w:ascii="Times New Roman" w:hAnsi="Times New Roman" w:eastAsia="Times New Roman" w:cs="Times New Roman"/>
          <w:i/>
          <w:color w:val="000000"/>
          <w:sz w:val="24"/>
        </w:rPr>
        <w:t xml:space="preserve">Table 4.8 reports the Pearson correlation against the post-hoc LLM-only score for each variant, with the cluster-bootstrap interval and the absolute delta against the v2 baseline.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4.8: Stage H ablation. Pearson correlation between each variant and the post-hoc LLM-only score, with cluster-bootstrap 95% confidence intervals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clusters, 2 000 resamples, seed = 42). Bold rows mark the v2 baseline and the full v3 stack endpoints of the ablation.</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2891"/>
        <w:gridCol w:w="1814"/>
        <w:gridCol w:w="1530"/>
        <w:gridCol w:w="1247"/>
        <w:gridCol w:w="1134"/>
      </w:tblGrid>
      <w:tr>
        <w:trPr>
          <w:tblHeader w:val="on"/>
        </w:trPr>
        <w:tc>
          <w:tcPr>
            <w:tcW w:type="dxa" w:w="289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Variant</w:t>
            </w:r>
          </w:p>
        </w:tc>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5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95% CI</w:t>
            </w:r>
          </w:p>
        </w:tc>
        <w:tc>
          <w:tcPr>
            <w:tcW w:type="dxa" w:w="124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c>
          <w:tcPr>
            <w:tcW w:type="dxa" w:w="113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Δ vs v2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heuristic-v2 (BM25 + ESCO + fuzzy)</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baseline</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heuristic-v3 with no Stage H features</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Bigram/trigram matching (H.4)</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0.629</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0.583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SBERT semantic fallback (H.1)</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0.623</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[0.452, 0.759]</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0.573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−0.004</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STAR detection (H.2)</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0.621</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[0.463, 0.755]</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−0.006</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ESCO expansion 107 → 354 (H.5)</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0.617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[0.461, 0.752]</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0.578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−0.009</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Cross-axis coherence (H.3)</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0.605</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[0.438, 0.746]</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0.568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−0.022</w:t>
            </w:r>
          </w:p>
        </w:tc>
      </w:tr>
      <w:tr>
        <w:tc>
          <w:tcPr>
            <w:tcW w:type="dxa" w:w="289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heuristic-v3 full stack</w:t>
            </w:r>
          </w:p>
        </w:tc>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0.590</w:t>
            </w:r>
          </w:p>
        </w:tc>
        <w:tc>
          <w:tcPr>
            <w:tcW w:type="dxa" w:w="15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[0.415, 0.735]</w:t>
            </w:r>
          </w:p>
        </w:tc>
        <w:tc>
          <w:tcPr>
            <w:tcW w:type="dxa" w:w="124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0.556</w:t>
            </w:r>
          </w:p>
        </w:tc>
        <w:tc>
          <w:tcPr>
            <w:tcW w:type="dxa" w:w="113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−0.036</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on the 100-pair set, so none of the variants are statistically distinguishable from the v2 baseline.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 when all five gated signals fire simultaneously.</w:t>
      </w:r>
    </w:p>
    <w:p>
      <w:pPr>
        <w:pStyle w:val="BodyText"/>
        <w:spacing w:line="312" w:lineRule="auto" w:after="8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spacing w:line="312" w:lineRule="auto" w:after="8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spacing w:line="312" w:lineRule="auto" w:after="8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discriminative power: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0.470, 0.758]. The deterministic baseline is therefore strong enough to justify deployment as a fallback and runtime mode, while the blended mode remains valuable for qualitative explanations and clarity-sensitive judgement.</w:t>
      </w:r>
    </w:p>
    <w:p>
      <w:pPr>
        <w:pStyle w:val="BodyText"/>
        <w:spacing w:line="312" w:lineRule="auto" w:after="8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 cross-model comparisons remain a known limitation of LLM-as-judge evaluations [29].</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312" w:lineRule="auto" w:after="8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312" w:lineRule="auto" w:after="8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18" w:name="chapter-5-conclusions"/>
    <w:p>
      <w:pPr>
        <w:pStyle w:val="Heading1"/>
        <w:spacing w:line="312" w:lineRule="auto" w:after="80"/>
        <w:ind w:firstLine="283"/>
        <w:jc w:val="both"/>
      </w:pPr>
      <w:r>
        <w:rPr>
          <w:rFonts w:ascii="Times New Roman" w:hAnsi="Times New Roman" w:eastAsia="Times New Roman" w:cs="Times New Roman"/>
          <w:color w:val="000000"/>
          <w:sz w:val="24"/>
        </w:rPr>
        <w:t xml:space="preserve">Chapter 5 — Conclusions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15" w:name="results-1"/>
    <w:p>
      <w:pPr>
        <w:pStyle w:val="Heading2"/>
        <w:spacing w:line="312" w:lineRule="auto" w:after="80"/>
        <w:ind w:firstLine="283"/>
        <w:jc w:val="both"/>
      </w:pPr>
      <w:r>
        <w:rPr>
          <w:rFonts w:ascii="Times New Roman" w:hAnsi="Times New Roman" w:eastAsia="Times New Roman" w:cs="Times New Roman"/>
          <w:color w:val="000000"/>
          <w:sz w:val="24"/>
        </w:rPr>
        <w:t xml:space="preserve">5.1 Results</w:t>
      </w:r>
    </w:p>
    <w:p>
      <w:pPr>
        <w:pStyle w:val="FirstParagraph"/>
        <w:spacing w:line="312" w:lineRule="auto" w:after="80"/>
        <w:ind w:firstLine="283"/>
        <w:jc w:val="both"/>
      </w:pPr>
      <w:r>
        <w:rPr>
          <w:rFonts w:ascii="Times New Roman" w:hAnsi="Times New Roman" w:eastAsia="Times New Roman" w:cs="Times New Roman"/>
          <w:b/>
          <w:bCs/>
          <w:color w:val="000000"/>
          <w:sz w:val="24"/>
        </w:rPr>
        <w:t xml:space="preserve">A deployed integrated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is deployed on Railway as a single application surface and integrates six tools: Resume Analyzer, Job Match, Career Path, Cover Letter, Interview Q&amp;A, and Portfolio Planner. Chapters 2 and 3 documented the architecture, the shared pipeline, and the tool implementations. The system supports authenticated accounts, guest demonstrations, persisted tool history, regeneration chains, and runtime switching between scoring modes.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defendable heuristic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Chapter 4 introduced strong heuristic v2, a strictly non-neural scoring pipeline based on TF–IDF and BM25 [5, 6], ESCO-aligned skill normalisation [8, 9, 12], string-similarity fuzzy matching [7], section-weighted evidence [18], quantification detection, and action-verb scoring. The score-combination weights are author-selected but were checked through the sensitivity analysis in Section 4.3.5.</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characterisation of the heuristic-versus-blended trade-off.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4.3 reported four metric families measured across 100 (resume, job-description) pairs on the post-mitigation disjoint-vocabulary dataset. On the overall score the heuristic mode tracks the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both well above the 0.7 reference threshold, while running roughly two-to-three orders of magnitude faster (median 25.5 ms versus 18.2 s) at zero LLM-side marginal cost. The post-hoc LLM-only-versus-heuristic correlation, isolated from the structural blended-formula component (Section 4.3.1’, T2 mitigation),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0.470, 0.758]; this is the cross-mode agreement after controlling for the 0.40 heuristic share that the blended mode carries by construction. The agreement is dominated by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where both modes consume the same evidence, and is weakest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where the language model contributes prose-quality evidence the heuristic does not see. Independently of the aggregate numbers, the blended mode produces qualitatively richer prose recommendations that the heuristic does not attempt to produce; this qualitative dimension is reserved for separate user-research investigation.</w:t>
      </w:r>
    </w:p>
    <w:p>
      <w:pPr>
        <w:pStyle w:val="BodyText"/>
        <w:spacing w:line="312" w:lineRule="auto" w:after="80"/>
        <w:ind w:firstLine="283"/>
        <w:jc w:val="both"/>
      </w:pPr>
      <w:r>
        <w:rPr>
          <w:rFonts w:ascii="Times New Roman" w:hAnsi="Times New Roman" w:eastAsia="Times New Roman" w:cs="Times New Roman"/>
          <w:color w:val="000000"/>
          <w:sz w:val="24"/>
        </w:rPr>
        <w:t xml:space="preserve">With the benefit of hindsight, the single decision the author would change is the order in which the tools were built. The first months of work went into the Resume Analyzer and the Job Match tool, each shipped as a self-contained pipeline with its own cache, its own persistence call, and its own observability boilerplate copy-pasted from the other. Only after the third tool joined the system did the duplication become painful enough to motivate the shared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refactor. A more disciplined approach would have written the pipeline first and built the first tool against it, even at the cost of a slightly slower start; a meaningful fraction of the early bugs in this project turned out to be variations on the same forgotten cache-key argument across three nearly-identical service modules.</w:t>
      </w:r>
    </w:p>
    <w:p>
      <w:pPr>
        <w:pStyle w:val="BodyText"/>
        <w:spacing w:line="312" w:lineRule="auto" w:after="80"/>
        <w:ind w:firstLine="283"/>
        <w:jc w:val="both"/>
      </w:pPr>
      <w:r>
        <w:rPr>
          <w:rFonts w:ascii="Times New Roman" w:hAnsi="Times New Roman" w:eastAsia="Times New Roman" w:cs="Times New Roman"/>
          <w:color w:val="000000"/>
          <w:sz w:val="24"/>
        </w:rPr>
        <w:t xml:space="preserve">The main research lesson is methodological: a deterministic baseline should be measured rather than treated as a fallback of last resort. Before the comparison, heuristic mode existed mainly as a reliability mechanism, justified only by N3 of Chapter 2. After the study, it can be described much more precisely: weaker on prose-quality judgement (clarity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but strong enough on aggregate ranking and on legitimate skill-overlap evidence (keywords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0.830) to justify its place in the deployed system as both an emergency fallback and a runtime-switchable mode for cost-sensitive or audit-sensitive deployments.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Validity-threat closure reported in Chapter 4.</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Three measurements address threats T1, T2, and T3 of Section 4.1.4, and their numerical results are reported inline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LLM-only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 pair, recovered post-hoc from the locked-payload identity rather than from a second LLM rerun, is reported in Section 4.3.1’ and addresses threat T2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(LLM-only, heuristic) = 0.627 [95% CI 0.470, 0.758]).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vocabulary-disjoint regeneration of the synthetic benchmark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 which the resume side and the job-description side draw from non-overlapping phrase pools by construction, with the per-pair content-token overlap audited at zero pairs above the &gt;3-token threshold) is the dataset on which every number in Section 4.3 is computed and addresses T1.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by-resume cluster-bootstrap confidence intervals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all headline correlations, computed by resampling resume identifiers with replacement (</w:t>
      </w:r>
      <w:r>
        <w:rPr>
          <w:rStyle w:val="VerbatimChar"/>
          <w:rFonts w:ascii="Times New Roman" w:hAnsi="Times New Roman" w:eastAsia="Times New Roman" w:cs="Times New Roman"/>
          <w:color w:val="000000"/>
          <w:sz w:val="24"/>
        </w:rPr>
        <w:t xml:space="preserve">cluster_bootstrap_pearson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2 000 resamples, seed = 42), are reported alongside the point estimates in Sections 4.3.1 and 4.3.1’ and address T3. The three closures together support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strong-agreement-within-this-synthetic-evaluation-set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characterisation in Section 4.4. T4 (post-hoc heuristic design) remains a disclosed limitation rather than a closed one.</w:t>
      </w:r>
    </w:p>
    <w:bookmarkEnd w:id="115"/>
    <w:bookmarkStart w:id="116" w:name="limitations"/>
    <w:p>
      <w:pPr>
        <w:pStyle w:val="Heading2"/>
        <w:spacing w:line="312" w:lineRule="auto" w:after="80"/>
        <w:ind w:firstLine="283"/>
        <w:jc w:val="both"/>
      </w:pPr>
      <w:r>
        <w:rPr>
          <w:rFonts w:ascii="Times New Roman" w:hAnsi="Times New Roman" w:eastAsia="Times New Roman" w:cs="Times New Roman"/>
          <w:color w:val="000000"/>
          <w:sz w:val="24"/>
        </w:rPr>
        <w:t xml:space="preserve">5.2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empirical claim is bounded by the evaluation design. The dataset 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(English) and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single-author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30 resumes were synthesised by one author), so the result is a within-author baseline rather than a cross-population hiring claim. The blended mode uses a</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Google Vertex AI Gemini 2.5 Flash, and should not be assumed to behave identically with Claude, GPT, Llama, or another hosted model.</w:t>
      </w:r>
    </w:p>
    <w:p>
      <w:pPr>
        <w:pStyle w:val="BodyText"/>
        <w:spacing w:line="312" w:lineRule="auto" w:after="80"/>
        <w:ind w:firstLine="283"/>
        <w:jc w:val="both"/>
      </w:pPr>
      <w:r>
        <w:rPr>
          <w:rFonts w:ascii="Times New Roman" w:hAnsi="Times New Roman" w:eastAsia="Times New Roman" w:cs="Times New Roman"/>
          <w:color w:val="000000"/>
          <w:sz w:val="24"/>
        </w:rPr>
        <w:t xml:space="preserve">Two operational limits also remain. First, the in-memory cache is not shared between processes; this is acceptable for thesis-scope traffic but not for larger production scale. Second, the implemented system covers skills and experience but does not yet model temporal job-market trends such as posting-frequency shifts, regional demand changes, or hiring-rate dynamics.</w:t>
      </w:r>
    </w:p>
    <w:p>
      <w:pPr>
        <w:pStyle w:val="BodyText"/>
        <w:spacing w:line="312" w:lineRule="auto" w:after="80"/>
        <w:ind w:firstLine="283"/>
        <w:jc w:val="both"/>
      </w:pPr>
      <w:r>
        <w:rPr>
          <w:rFonts w:ascii="Times New Roman" w:hAnsi="Times New Roman" w:eastAsia="Times New Roman" w:cs="Times New Roman"/>
          <w:color w:val="000000"/>
          <w:sz w:val="24"/>
        </w:rPr>
        <w:t xml:space="preserve">Finally, the system is a thesis demonstration rather than a sustainable commercial product. The monetisation strategy described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docs/spec.md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deliberately deferred to a post-thesis V1.1 release and is not evaluated here.</w:t>
      </w:r>
    </w:p>
    <w:p>
      <w:pPr>
        <w:pStyle w:val="BodyText"/>
        <w:spacing w:line="312" w:lineRule="auto" w:after="80"/>
        <w:ind w:firstLine="283"/>
        <w:jc w:val="both"/>
      </w:pPr>
      <w:r>
        <w:rPr>
          <w:rFonts w:ascii="Times New Roman" w:hAnsi="Times New Roman" w:eastAsia="Times New Roman" w:cs="Times New Roman"/>
          <w:color w:val="000000"/>
          <w:sz w:val="24"/>
        </w:rPr>
        <w:t xml:space="preserve">The fairness limitation is separate from those operational issues. Automated hiring tools can reproduce or amplify bias when resume content, model training data, or historical decisions correlate with protected attributes [22, 23, 24]. The present benchmark has no demographic labels, so disparate-impact diagnostics cannot be computed.</w:t>
      </w:r>
    </w:p>
    <w:p>
      <w:pPr>
        <w:pStyle w:val="BodyText"/>
        <w:spacing w:line="312" w:lineRule="auto" w:after="80"/>
        <w:ind w:firstLine="283"/>
        <w:jc w:val="both"/>
      </w:pPr>
      <w:r>
        <w:rPr>
          <w:rFonts w:ascii="Times New Roman" w:hAnsi="Times New Roman" w:eastAsia="Times New Roman" w:cs="Times New Roman"/>
          <w:color w:val="000000"/>
          <w:sz w:val="24"/>
        </w:rPr>
        <w:t xml:space="preserve">A further methodological limitation is that the evaluation measures score agreement rather than downstream user outcomes. The study shows how closely two scoring modes track each other on the synthetic benchmark, but it does not measure whether candidates rewrite better resumes, receive more interviews, or make better career decisions after using the system. Those outcomes would require a longitudinal user study with consented participants, which is outside the thesis schedule.</w:t>
      </w:r>
    </w:p>
    <w:bookmarkEnd w:id="116"/>
    <w:bookmarkStart w:id="117" w:name="future-development"/>
    <w:p>
      <w:pPr>
        <w:pStyle w:val="Heading2"/>
        <w:spacing w:line="312" w:lineRule="auto" w:after="80"/>
        <w:ind w:firstLine="283"/>
        <w:jc w:val="both"/>
      </w:pPr>
      <w:r>
        <w:rPr>
          <w:rFonts w:ascii="Times New Roman" w:hAnsi="Times New Roman" w:eastAsia="Times New Roman" w:cs="Times New Roman"/>
          <w:color w:val="000000"/>
          <w:sz w:val="24"/>
        </w:rPr>
        <w:t xml:space="preserve">5.3 Future development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Future work follows directly from these limitations.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Polish-language coverage.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is multilingual, but the current bundled subset uses English labels. Adding Polish labels would make the system more relevant to a Wrocław-based deployment. The required change is contained: language detection, Polish-aware preprocessing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quality_signals_v2.py</w:t>
      </w:r>
      <w:r>
        <w:rPr>
          <w:rFonts w:ascii="Times New Roman" w:hAnsi="Times New Roman" w:eastAsia="Times New Roman" w:cs="Times New Roman"/>
          <w:color w:val="000000"/>
          <w:sz w:val="24"/>
        </w:rPr>
        <w:t xml:space="preserve">, and locale-specific prompt branches.</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would also test whether the top-down ESCO strategy remains robust when resumes mix Polish headings, English technical skills, and hybrid phrasing common in local technology roles. The architecture separates preprocessing, prompt construction, and scoring, so the work is mainly data and language handling rather than a new system design.</w:t>
      </w:r>
    </w:p>
    <w:p>
      <w:pPr>
        <w:pStyle w:val="BodyText"/>
        <w:spacing w:line="312" w:lineRule="auto" w:after="80"/>
        <w:ind w:firstLine="283"/>
        <w:jc w:val="both"/>
      </w:pPr>
      <w:r>
        <w:rPr>
          <w:rFonts w:ascii="Times New Roman" w:hAnsi="Times New Roman" w:eastAsia="Times New Roman" w:cs="Times New Roman"/>
          <w:color w:val="000000"/>
          <w:sz w:val="24"/>
        </w:rPr>
        <w:t xml:space="preserve">The Polish extension should not be treated as a translation-only task. Resume section labels, education terminology, contract types, and local job-title conventions differ from English examples, and technical resumes often mix languages in one document. A useful implementation would therefore combine ESCO label expansion with Polish section detection and bilingual prompt evaluation.</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Sentence-transformer intermediate tier.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third scoring mode could sit between strict classical IR and full LLM inference: a sentence-transformer semantic matcher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[20, 21]. Stage H tested this idea as an ablation, but on the synthetic benchmark the SBERT-only variant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versus v2) and the full v3 stack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These results suggest that promotion to production should wait for evaluation on real-world resumes and job descriptions with more prose variation than the synthetic templates expose.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Retrieval-augmented 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could retrieve curated labour-market documents, ESCO occupation descriptions, salary surveys, or role-progression standards before invoking the LLM [25]. This would make recommendations more source-attributed without changing the persistence model or response contracts.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direction is the most product-facing one. It addresses the limitation that current recommendations are reasoned from the resume and job description but are not grounded in external labour-market evidence. A retrieval stage would let the system cite recent documents while preserving the existing LLM response shape.</w:t>
      </w:r>
    </w:p>
    <w:p>
      <w:pPr>
        <w:pStyle w:val="BodyText"/>
        <w:spacing w:line="312" w:lineRule="auto" w:after="80"/>
        <w:ind w:firstLine="283"/>
        <w:jc w:val="both"/>
      </w:pPr>
      <w:r>
        <w:rPr>
          <w:rFonts w:ascii="Times New Roman" w:hAnsi="Times New Roman" w:eastAsia="Times New Roman" w:cs="Times New Roman"/>
          <w:color w:val="000000"/>
          <w:sz w:val="24"/>
        </w:rPr>
        <w:t xml:space="preserve">The retrieval layer would also help with the approved-topic phrase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 job-market trends”</w:t>
      </w:r>
      <w:r>
        <w:rPr>
          <w:rFonts w:ascii="Times New Roman" w:hAnsi="Times New Roman" w:eastAsia="Times New Roman" w:cs="Times New Roman"/>
          <w:color w:val="000000"/>
          <w:sz w:val="24"/>
        </w:rPr>
        <w:t xml:space="preserve">. Instead of asking the LLM to infer market context from its pretraining, the system could retrieve recent, source-attributed evidence and attach it to the recommendation. This would make the trend dimension auditable in a way that the present static job-description comparison is not.</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Redis-backed cache.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Replacing the in-memory cache with Redis would allow cache sharing across backend processes and is the smallest operational upgrade once traffic exceeds a single-instance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This change would preserve the current cache-key design while moving storage out of process memory. It would also make latency measurements easier to interpret in a scaled deployment because cache hits would not depend on which backend worker received the request.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four future-work directions, no single ranking holds across all the criteria that would matter. The sentence-transformer intermediate tier is the most technically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probed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the four: Stage H of this thesis (Section 4.3.6) implemented an SBERT semantic-fallback layer alongside four other classical-IR enhancements and reported a controlled null on the synthetic evaluation set, with the SBERT-only variant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and the full-stack v3 configuration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all comfortably inside the ±0.15 half-width of the cluster-bootstrap noise band on the 100-pair set. The case for promoting the SBERT tier from an ablation cell to a deployed component rests on a different evaluation surface than the comparative-study benchmark of Chapter 4, likely a real-world resume and job-description corpus with prose-quality variation that the synthetic templates suppress. The retrieval-augmented blended mode is the most product-relevant of the four because the most consistent informal feedback on the deployed system has been a request for source attribution behind the recommendations. The Polish-language extension is the most regionally concrete one and would benefit from a native-Polish collaborator rather than from a single-author execution. The Redis-backed cache is the smallest of the four in scope and the only one that does not require new research data. Which of the four becomes the next deliverable depends on whether the project continues as a personal study, transitions into a paid product, or feeds into a future Master’s-level extension.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contributions are therefore an integrated, deployed system that brings six career tools together around a single resume representation, a defendable strictly-non-neural heuristic baseline, and an empirical characterisation of how that baseline compares to a language-model-augmented mode for the two analytical tools (Resume Analyzer and Job Match) on score agreement, latency, and cost, all within the synthetic evaluation set described in Chapter 4. The deployment is live at the time of submission and the administrative scoring-mode endpoint introduced in Chapter 4.2.9 is operable for live demonstration during the diploma defence.</w:t>
      </w:r>
    </w:p>
    <w:p>
      <w:pPr>
        <w:pStyle w:val="BodyText"/>
        <w:spacing w:line="312" w:lineRule="auto" w:after="80"/>
        <w:ind w:firstLine="283"/>
        <w:jc w:val="both"/>
      </w:pPr>
      <w:r>
        <w:rPr>
          <w:rFonts w:ascii="Times New Roman" w:hAnsi="Times New Roman" w:eastAsia="Times New Roman" w:cs="Times New Roman"/>
          <w:color w:val="000000"/>
          <w:sz w:val="24"/>
        </w:rPr>
        <w:t xml:space="preserve">That broader evaluation set would be the natural bridge from a Bachelor-level engineering thesis to a Master’s-level research project. It would allow the same architecture and scoring modes to be tested under less synthetic language variation, with demographic safeguards and real user outcomes added to the evaluation design.</w:t>
      </w:r>
    </w:p>
    <w:bookmarkEnd w:id="117"/>
    <w:bookmarkEnd w:id="118"/>
    <w:bookmarkStart w:id="130" w:name="bibliography"/>
    <w:p>
      <w:pPr>
        <w:pStyle w:val="Heading1"/>
        <w:spacing w:line="312" w:lineRule="auto" w:after="80"/>
        <w:ind w:firstLine="283"/>
        <w:jc w:val="both"/>
      </w:pPr>
      <w:r>
        <w:rPr>
          <w:rFonts w:ascii="Times New Roman" w:hAnsi="Times New Roman" w:eastAsia="Times New Roman" w:cs="Times New Roman"/>
          <w:color w:val="000000"/>
          <w:sz w:val="24"/>
        </w:rPr>
        <w:t xml:space="preserve">Bibliography</w:t>
      </w:r>
    </w:p>
    <w:bookmarkStart w:id="119" w:name="Xe524d447c5cf25a4d8e2fc35a266a2d3c4bfbe5"/>
    <w:p>
      <w:pPr>
        <w:pStyle w:val="Heading2"/>
        <w:spacing w:line="312" w:lineRule="auto" w:after="8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312" w:lineRule="auto" w:after="8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312" w:lineRule="auto" w:after="8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312" w:lineRule="auto" w:after="80"/>
        <w:jc w:val="both"/>
      </w:pPr>
      <w:r>
        <w:rPr>
          <w:rFonts w:ascii="Times New Roman" w:hAnsi="Times New Roman" w:eastAsia="Times New Roman" w:cs="Times New Roman"/>
          <w:color w:val="000000"/>
          <w:sz w:val="24"/>
        </w:rPr>
        <w:t xml:space="preserve">[3] World Economic Forum,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Future of Jobs Report 2023</w:t>
      </w:r>
      <w:r>
        <w:rPr>
          <w:rFonts w:ascii="Times New Roman" w:hAnsi="Times New Roman" w:eastAsia="Times New Roman" w:cs="Times New Roman"/>
          <w:color w:val="000000"/>
          <w:sz w:val="24"/>
        </w:rPr>
        <w:t xml:space="preserve">. Geneva: WEF, May 2023. https://www.weforum.org/publications/the-future-of-jobs-report-2023/</w:t>
      </w:r>
    </w:p>
    <w:p>
      <w:pPr>
        <w:pStyle w:val="BodyText"/>
        <w:spacing w:line="312" w:lineRule="auto" w:after="8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9"/>
    <w:bookmarkStart w:id="120" w:name="foundational-information-retrieval"/>
    <w:p>
      <w:pPr>
        <w:pStyle w:val="Heading2"/>
        <w:spacing w:line="312" w:lineRule="auto" w:after="8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312" w:lineRule="auto" w:after="8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312" w:lineRule="auto" w:after="8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312" w:lineRule="auto" w:after="8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20"/>
    <w:bookmarkStart w:id="121" w:name="Xdd898e929631c1ac7dcaafa863450eac8c4687c"/>
    <w:p>
      <w:pPr>
        <w:pStyle w:val="Heading2"/>
        <w:spacing w:line="312" w:lineRule="auto" w:after="8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312" w:lineRule="auto" w:after="8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312" w:lineRule="auto" w:after="8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312" w:lineRule="auto" w:after="8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312" w:lineRule="auto" w:after="8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312" w:lineRule="auto" w:after="8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312" w:lineRule="auto" w:after="8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21"/>
    <w:bookmarkStart w:id="122" w:name="X1796bfef32d736987f1174fc0e433d96cea39d8"/>
    <w:p>
      <w:pPr>
        <w:pStyle w:val="Heading2"/>
        <w:spacing w:line="312" w:lineRule="auto" w:after="8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312" w:lineRule="auto" w:after="8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22"/>
    <w:bookmarkStart w:id="123" w:name="ai-based-career-recommendation-systems"/>
    <w:p>
      <w:pPr>
        <w:pStyle w:val="Heading2"/>
        <w:spacing w:line="312" w:lineRule="auto" w:after="8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312" w:lineRule="auto" w:after="8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23"/>
    <w:bookmarkStart w:id="124" w:name="large-language-models-in-recruitment"/>
    <w:p>
      <w:pPr>
        <w:pStyle w:val="Heading2"/>
        <w:spacing w:line="312" w:lineRule="auto" w:after="8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312" w:lineRule="auto" w:after="8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312" w:lineRule="auto" w:after="8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312" w:lineRule="auto" w:after="8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312" w:lineRule="auto" w:after="8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4"/>
    <w:bookmarkStart w:id="125" w:name="Xe3796102e15fa10b5c24e38851c753906160937"/>
    <w:p>
      <w:pPr>
        <w:pStyle w:val="Heading2"/>
        <w:spacing w:line="312" w:lineRule="auto" w:after="8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312" w:lineRule="auto" w:after="8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312" w:lineRule="auto" w:after="8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5"/>
    <w:bookmarkStart w:id="126" w:name="bias-and-fairness-in-algorithmic-hiring"/>
    <w:p>
      <w:pPr>
        <w:pStyle w:val="Heading2"/>
        <w:spacing w:line="312" w:lineRule="auto" w:after="8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312" w:lineRule="auto" w:after="8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312" w:lineRule="auto" w:after="8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312" w:lineRule="auto" w:after="8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6"/>
    <w:bookmarkStart w:id="127" w:name="retrieval-augmented-generation"/>
    <w:p>
      <w:pPr>
        <w:pStyle w:val="Heading2"/>
        <w:spacing w:line="312" w:lineRule="auto" w:after="8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312" w:lineRule="auto" w:after="8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7"/>
    <w:bookmarkStart w:id="128" w:name="statistical-and-evaluation-methodology"/>
    <w:p>
      <w:pPr>
        <w:pStyle w:val="Heading2"/>
        <w:spacing w:line="312" w:lineRule="auto" w:after="80"/>
        <w:ind w:firstLine="283"/>
        <w:jc w:val="both"/>
      </w:pPr>
      <w:r>
        <w:rPr>
          <w:rFonts w:ascii="Times New Roman" w:hAnsi="Times New Roman" w:eastAsia="Times New Roman" w:cs="Times New Roman"/>
          <w:color w:val="000000"/>
          <w:sz w:val="24"/>
        </w:rPr>
        <w:t xml:space="preserve">10. Statistical and evaluation methodology</w:t>
      </w:r>
    </w:p>
    <w:p>
      <w:pPr>
        <w:pStyle w:val="FirstParagraph"/>
        <w:spacing w:line="312" w:lineRule="auto" w:after="80"/>
        <w:jc w:val="both"/>
      </w:pPr>
      <w:r>
        <w:rPr>
          <w:rFonts w:ascii="Times New Roman" w:hAnsi="Times New Roman" w:eastAsia="Times New Roman" w:cs="Times New Roman"/>
          <w:color w:val="000000"/>
          <w:sz w:val="24"/>
        </w:rPr>
        <w:t xml:space="preserve">[26] J. Cohen,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Statistical Power Analysis for the Behavioral Sciences</w:t>
      </w:r>
      <w:r>
        <w:rPr>
          <w:rFonts w:ascii="Times New Roman" w:hAnsi="Times New Roman" w:eastAsia="Times New Roman" w:cs="Times New Roman"/>
          <w:color w:val="000000"/>
          <w:sz w:val="24"/>
        </w:rPr>
        <w:t xml:space="preserve">, 2nd ed. Hillsdale, NJ: Lawrence Erlbaum, 1988.</w:t>
      </w:r>
    </w:p>
    <w:p>
      <w:pPr>
        <w:pStyle w:val="BodyText"/>
        <w:spacing w:line="312" w:lineRule="auto" w:after="80"/>
        <w:jc w:val="both"/>
      </w:pPr>
      <w:r>
        <w:rPr>
          <w:rFonts w:ascii="Times New Roman" w:hAnsi="Times New Roman" w:eastAsia="Times New Roman" w:cs="Times New Roman"/>
          <w:color w:val="000000"/>
          <w:sz w:val="24"/>
        </w:rPr>
        <w:t xml:space="preserve">[27] T. D. Cook and D. T. Campbell,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Quasi-Experimentation: Design and Analysis Issues for Field Settings</w:t>
      </w:r>
      <w:r>
        <w:rPr>
          <w:rFonts w:ascii="Times New Roman" w:hAnsi="Times New Roman" w:eastAsia="Times New Roman" w:cs="Times New Roman"/>
          <w:color w:val="000000"/>
          <w:sz w:val="24"/>
        </w:rPr>
        <w:t xml:space="preserve">. Boston, MA: Houghton Mifflin, 1979.</w:t>
      </w:r>
    </w:p>
    <w:p>
      <w:pPr>
        <w:pStyle w:val="BodyText"/>
        <w:spacing w:line="312" w:lineRule="auto" w:after="80"/>
        <w:jc w:val="both"/>
      </w:pPr>
      <w:r>
        <w:rPr>
          <w:rFonts w:ascii="Times New Roman" w:hAnsi="Times New Roman" w:eastAsia="Times New Roman" w:cs="Times New Roman"/>
          <w:color w:val="000000"/>
          <w:sz w:val="24"/>
        </w:rPr>
        <w:t xml:space="preserve">[28] A. C. Cameron, J. B. Gelbach, and D. L. Miller,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“Bootstrap-based improvements for inference with clustered errors,”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Review of Economics and Statistics</w:t>
      </w:r>
      <w:r>
        <w:rPr>
          <w:rFonts w:ascii="Times New Roman" w:hAnsi="Times New Roman" w:eastAsia="Times New Roman" w:cs="Times New Roman"/>
          <w:color w:val="000000"/>
          <w:sz w:val="24"/>
        </w:rPr>
        <w:t xml:space="preserve">, vol. 90, no. 3, pp. 414–427, 2008. https://doi.org/10.1162/rest.90.3.414</w:t>
      </w:r>
    </w:p>
    <w:p>
      <w:pPr>
        <w:pStyle w:val="BodyText"/>
        <w:spacing w:line="312" w:lineRule="auto" w:after="80"/>
        <w:jc w:val="both"/>
      </w:pPr>
      <w:r>
        <w:rPr>
          <w:rFonts w:ascii="Times New Roman" w:hAnsi="Times New Roman" w:eastAsia="Times New Roman" w:cs="Times New Roman"/>
          <w:color w:val="000000"/>
          <w:sz w:val="24"/>
        </w:rPr>
        <w:t xml:space="preserve">[29] L. Zheng, W.-L. Chiang, Y. Sheng, S. Zhuang, Z. Wu, Y. Zhuang, Z. Lin, Z. Li, D. Li, E. P. Xing, H. Zhang, J. E. Gonzalez, and I. Stoica,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“Judging LLM-as-a-Judge with MT-Bench and Chatbot Arena,”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Advances in Neural Information Processing Systems</w:t>
      </w:r>
      <w:r>
        <w:rPr>
          <w:rFonts w:ascii="Times New Roman" w:hAnsi="Times New Roman" w:eastAsia="Times New Roman" w:cs="Times New Roman"/>
          <w:color w:val="000000"/>
          <w:sz w:val="24"/>
        </w:rPr>
        <w:t xml:space="preserve">, vol. 36, 2023. https://arxiv.org/abs/2306.05685</w:t>
      </w:r>
    </w:p>
    <w:bookmarkEnd w:id="128"/>
    <w:bookmarkStart w:id="129" w:name="web-frameworks-and-system-tooling"/>
    <w:p>
      <w:pPr>
        <w:pStyle w:val="Heading2"/>
        <w:spacing w:line="312" w:lineRule="auto" w:after="80"/>
        <w:ind w:firstLine="283"/>
        <w:jc w:val="both"/>
      </w:pPr>
      <w:r>
        <w:rPr>
          <w:rFonts w:ascii="Times New Roman" w:hAnsi="Times New Roman" w:eastAsia="Times New Roman" w:cs="Times New Roman"/>
          <w:color w:val="000000"/>
          <w:sz w:val="24"/>
        </w:rPr>
        <w:t xml:space="preserve">11. Web frameworks and system tooling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Documentation references for the engineering chapters; kept separate from the numbered academic bibliography because they document implementation APIs rather than research claims.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Resend transactional email API. https://resend.com/docs</w:t>
      </w:r>
    </w:p>
    <w:bookmarkEnd w:id="129"/>
    <w:bookmarkEnd w:id="130"/>
    <w:bookmarkStart w:id="162" w:name="appendices"/>
    <w:p>
      <w:pPr>
        <w:pStyle w:val="Heading1"/>
        <w:spacing w:line="312" w:lineRule="auto" w:after="80"/>
        <w:ind w:firstLine="283"/>
        <w:jc w:val="both"/>
      </w:pPr>
      <w:r>
        <w:rPr>
          <w:rFonts w:ascii="Times New Roman" w:hAnsi="Times New Roman" w:eastAsia="Times New Roman" w:cs="Times New Roman"/>
          <w:color w:val="000000"/>
          <w:sz w:val="24"/>
        </w:rPr>
        <w:t xml:space="preserve">Appendices</w:t>
      </w:r>
    </w:p>
    <w:bookmarkStart w:id="135" w:name="appendix-a-source-listings"/>
    <w:p>
      <w:pPr>
        <w:pStyle w:val="Heading2"/>
        <w:spacing w:line="312" w:lineRule="auto" w:after="80"/>
        <w:ind w:firstLine="283"/>
        <w:jc w:val="both"/>
      </w:pPr>
      <w:r>
        <w:rPr>
          <w:rFonts w:ascii="Times New Roman" w:hAnsi="Times New Roman" w:eastAsia="Times New Roman" w:cs="Times New Roman"/>
          <w:color w:val="000000"/>
          <w:sz w:val="24"/>
        </w:rPr>
        <w:t xml:space="preserve">Appendix A — Source listings</w:t>
      </w:r>
    </w:p>
    <w:p>
      <w:pPr>
        <w:pStyle w:val="BlockText"/>
        <w:spacing w:line="312" w:lineRule="auto" w:after="8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31" w:name="X815009366af60fa4723a257df1c3cfaaf97a2fb"/>
    <w:p>
      <w:pPr>
        <w:pStyle w:val="Heading3"/>
        <w:spacing w:line="312" w:lineRule="auto" w:after="8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build_resume_prepass_v2(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target_role_label: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ResumePrepassV2: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text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resume_text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sections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_detect_sections(text)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bullets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[m.group(</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_BULLET_RE.finditer(text)]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tokens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_tokenize(text)</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resume_skills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_normalise_skills(text)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missing: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matched_locations: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fuzzy_count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(full body in the source file; see Section 4.2 of the thesis for the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accompanying methodological description)</w:t>
      </w:r>
    </w:p>
    <w:bookmarkEnd w:id="131"/>
    <w:bookmarkStart w:id="132" w:name="a.2-bm25-scoring"/>
    <w:p>
      <w:pPr>
        <w:pStyle w:val="Heading3"/>
        <w:spacing w:line="312" w:lineRule="auto" w:after="80"/>
        <w:ind w:firstLine="283"/>
        <w:jc w:val="both"/>
      </w:pPr>
      <w:r>
        <w:rPr>
          <w:rFonts w:ascii="Times New Roman" w:hAnsi="Times New Roman" w:eastAsia="Times New Roman" w:cs="Times New Roman"/>
          <w:color w:val="000000"/>
          <w:sz w:val="24"/>
        </w:rPr>
        <w:t xml:space="preserve">A.2 BM25 scoring</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_bm25_score(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int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query_terms: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idf: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avg_dl: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350.0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k1: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1.5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0.75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"""Standard BM25 score of a query against a single document's term-frequencies."""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sum</w:t>
      </w:r>
      <w:r>
        <w:rPr>
          <w:rStyle w:val="NormalTok"/>
          <w:rFonts w:ascii="Courier New" w:hAnsi="Courier New" w:eastAsia="Courier New" w:cs="Courier New"/>
          <w:b w:val="0"/>
          <w:i w:val="0"/>
          <w:color w:val="000000"/>
          <w:sz w:val="19"/>
        </w:rPr>
        <w:t xml:space="preserve">(resume_tf.values())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term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resume_tf.get(term,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continue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idf.get(term, math.log((</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norm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avg_dl))</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norm</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score</w:t>
      </w:r>
    </w:p>
    <w:bookmarkEnd w:id="132"/>
    <w:bookmarkStart w:id="133" w:name="a.3-runtime-mode-toggle"/>
    <w:p>
      <w:pPr>
        <w:pStyle w:val="Heading3"/>
        <w:spacing w:line="312" w:lineRule="auto" w:after="80"/>
        <w:ind w:firstLine="283"/>
        <w:jc w:val="both"/>
      </w:pPr>
      <w:r>
        <w:rPr>
          <w:rFonts w:ascii="Times New Roman" w:hAnsi="Times New Roman" w:eastAsia="Times New Roman" w:cs="Times New Roman"/>
          <w:color w:val="000000"/>
          <w:sz w:val="24"/>
        </w:rPr>
        <w:t xml:space="preserve">A.3 Runtime mode toggle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keepNext w:val="0"/>
        <w:keepLines/>
        <w:spacing w:line="240" w:lineRule="auto" w:before="40" w:after="40"/>
        <w:ind w:firstLine="0" w:left="227" w:right="227"/>
        <w:jc w:val="left"/>
        <w:shd w:val="clear" w:color="auto" w:fill="F5F5F5"/>
      </w:pPr>
      <w:r>
        <w:rPr>
          <w:rStyle w:val="NormalTok"/>
          <w:rFonts w:ascii="Courier New" w:hAnsi="Courier New" w:eastAsia="Courier New" w:cs="Courier New"/>
          <w:b w:val="0"/>
          <w:i w:val="0"/>
          <w:color w:val="000000"/>
          <w:sz w:val="19"/>
        </w:rPr>
        <w:t xml:space="preserve">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Literal[</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_VALID_MODES: </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_initial_mode: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configured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getattr</w:t>
      </w:r>
      <w:r>
        <w:rPr>
          <w:rStyle w:val="NormalTok"/>
          <w:rFonts w:ascii="Courier New" w:hAnsi="Courier New" w:eastAsia="Courier New" w:cs="Courier New"/>
          <w:b w:val="0"/>
          <w:i w:val="0"/>
          <w:color w:val="000000"/>
          <w:sz w:val="19"/>
        </w:rPr>
        <w:t xml:space="preserve">(settings, </w:t>
      </w:r>
      <w:r>
        <w:rPr>
          <w:rStyle w:val="StringTok"/>
          <w:rFonts w:ascii="Courier New" w:hAnsi="Courier New" w:eastAsia="Courier New" w:cs="Courier New"/>
          <w:b w:val="0"/>
          <w:i w:val="0"/>
          <w:color w:val="000000"/>
          <w:sz w:val="19"/>
        </w:rPr>
        <w:t xml:space="preserve">"SCORING_MODE"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configured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_initial_mode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configured</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_current_mode: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_initial_mode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get_scoring_mode()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set_scoring_mode(mode: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global</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mode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raise</w:t>
      </w:r>
      <w:r>
        <w:rPr>
          <w:rStyle w:val="NormalTok"/>
          <w:rFonts w:ascii="Courier New" w:hAnsi="Courier New" w:eastAsia="Courier New" w:cs="Courier New"/>
          <w:b w:val="0"/>
          <w:i w:val="0"/>
          <w:color w:val="000000"/>
          <w:sz w:val="19"/>
        </w:rPr>
        <w:t xml:space="preserve"> </w:t>
      </w:r>
      <w:r>
        <w:rPr>
          <w:rStyle w:val="PreprocessorTok"/>
          <w:rFonts w:ascii="Courier New" w:hAnsi="Courier New" w:eastAsia="Courier New" w:cs="Courier New"/>
          <w:b w:val="0"/>
          <w:i w:val="0"/>
          <w:color w:val="000000"/>
          <w:sz w:val="19"/>
        </w:rPr>
        <w:t xml:space="preserve">ValueError</w:t>
      </w:r>
      <w:r>
        <w:rPr>
          <w:rStyle w:val="NormalTok"/>
          <w:rFonts w:ascii="Courier New" w:hAnsi="Courier New" w:eastAsia="Courier New" w:cs="Courier New"/>
          <w:b w:val="0"/>
          <w:i w:val="0"/>
          <w:color w:val="000000"/>
          <w:sz w:val="19"/>
        </w:rPr>
        <w:t xml:space="preserve">(</w:t>
      </w:r>
      <w:r>
        <w:rPr>
          <w:rStyle w:val="SpecialStringTok"/>
          <w:rFonts w:ascii="Courier New" w:hAnsi="Courier New" w:eastAsia="Courier New" w:cs="Courier New"/>
          <w:b w:val="0"/>
          <w:i w:val="0"/>
          <w:color w:val="000000"/>
          <w:sz w:val="19"/>
        </w:rPr>
        <w:t xml:space="preserve">f"unknown scoring mode: </w:t>
      </w:r>
      <w:r>
        <w:rPr>
          <w:rStyle w:val="SpecialCha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mode</w:t>
      </w:r>
      <w:r>
        <w:rPr>
          <w:rStyle w:val="SpecialCharTok"/>
          <w:rFonts w:ascii="Courier New" w:hAnsi="Courier New" w:eastAsia="Courier New" w:cs="Courier New"/>
          <w:b w:val="0"/>
          <w:i w:val="0"/>
          <w:color w:val="000000"/>
          <w:sz w:val="19"/>
        </w:rPr>
        <w:t xml:space="preserve">!r}</w:t>
      </w:r>
      <w:r>
        <w:rPr>
          <w:rStyle w:val="SpecialString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_current_mode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p>
    <w:bookmarkEnd w:id="133"/>
    <w:bookmarkStart w:id="134" w:name="a.4-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A.4 Shared tool pipeline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keepNext w:val="0"/>
        <w:keepLines/>
        <w:spacing w:line="240" w:lineRule="auto" w:before="40" w:after="40"/>
        <w:ind w:firstLine="0" w:left="227" w:right="227"/>
        <w:jc w:val="left"/>
        <w:shd w:val="clear" w:color="auto" w:fill="F5F5F5"/>
      </w:pPr>
      <w:r>
        <w:rPr>
          <w:rStyle w:val="ControlFlowTok"/>
          <w:rFonts w:ascii="Courier New" w:hAnsi="Courier New" w:eastAsia="Courier New" w:cs="Courier New"/>
          <w:b w:val="0"/>
          <w:i w:val="0"/>
          <w:color w:val="000000"/>
          <w:sz w:val="19"/>
        </w:rPr>
        <w:t xml:space="preserve">async</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run_tool_pipeline(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tool_name: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service_fn: Callable[..., Awaitable[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service_kwargs: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label_fn: Callable[[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feedback: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parent_run_id: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workspace_id: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linked_context_ids: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current_user: User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db: Session,</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cache_extra_keys: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"""Shared pipeline: sanitize -&gt; cache -&gt; service -&gt; fallback -&gt; persist -&gt; respond."""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(sanitisation, cache lookup, service call, persistence, observability)</w:t>
      </w:r>
    </w:p>
    <w:bookmarkEnd w:id="134"/>
    <w:bookmarkEnd w:id="135"/>
    <w:bookmarkStart w:id="140" w:name="Xe2691035b1ea9be44987f1df6fe865ef1936dcd"/>
    <w:p>
      <w:pPr>
        <w:pStyle w:val="Heading2"/>
        <w:spacing w:line="312" w:lineRule="auto" w:after="8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6" w:name="b.1-resume-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312" w:lineRule="auto" w:after="8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6"/>
    <w:bookmarkStart w:id="137" w:name="b.2-job-description-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7"/>
    <w:bookmarkStart w:id="138" w:name="b.3-pair-construction"/>
    <w:p>
      <w:pPr>
        <w:pStyle w:val="Heading3"/>
        <w:spacing w:line="312" w:lineRule="auto" w:after="80"/>
        <w:ind w:firstLine="283"/>
        <w:jc w:val="both"/>
      </w:pPr>
      <w:r>
        <w:rPr>
          <w:rFonts w:ascii="Times New Roman" w:hAnsi="Times New Roman" w:eastAsia="Times New Roman" w:cs="Times New Roman"/>
          <w:color w:val="000000"/>
          <w:sz w:val="24"/>
        </w:rPr>
        <w:t xml:space="preserve">B.3 Pair construction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8"/>
    <w:bookmarkStart w:id="139" w:name="b.4-pair-manifest"/>
    <w:p>
      <w:pPr>
        <w:pStyle w:val="Heading3"/>
        <w:spacing w:line="312" w:lineRule="auto" w:after="80"/>
        <w:ind w:firstLine="283"/>
        <w:jc w:val="both"/>
      </w:pPr>
      <w:r>
        <w:rPr>
          <w:rFonts w:ascii="Times New Roman" w:hAnsi="Times New Roman" w:eastAsia="Times New Roman" w:cs="Times New Roman"/>
          <w:color w:val="000000"/>
          <w:sz w:val="24"/>
        </w:rPr>
        <w:t xml:space="preserve">B.4 Pair manifest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9"/>
    <w:bookmarkEnd w:id="140"/>
    <w:bookmarkStart w:id="157" w:name="Xa5e1eb6ef87c5a83e8c05d91d91fb5c96834f8e"/>
    <w:p>
      <w:pPr>
        <w:pStyle w:val="Heading2"/>
        <w:spacing w:line="312" w:lineRule="auto" w:after="8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4" w:name="c.1-landing-page"/>
    <w:p>
      <w:pPr>
        <w:pStyle w:val="Heading3"/>
        <w:spacing w:line="312" w:lineRule="auto" w:after="80"/>
        <w:ind w:firstLine="283"/>
        <w:jc w:val="both"/>
      </w:pPr>
      <w:r>
        <w:rPr>
          <w:rFonts w:ascii="Times New Roman" w:hAnsi="Times New Roman" w:eastAsia="Times New Roman" w:cs="Times New Roman"/>
          <w:color w:val="000000"/>
          <w:sz w:val="24"/>
        </w:rPr>
        <w:t xml:space="preserve">C.1 Landing page</w:t>
      </w:r>
    </w:p>
    <w:p>
      <w:pPr>
        <w:pStyle w:val="FirstParagraph"/>
        <w:keepNext/>
        <w:spacing w:before="60" w:after="40"/>
        <w:jc w:val="center"/>
      </w:pPr>
      <w:r>
        <w:drawing>
          <wp:inline>
            <wp:extent cx="4031999" cy="2267999"/>
            <wp:effectExtent b="0" l="0" r="0" t="0"/>
            <wp:docPr descr="" title="" id="142" name="Picture"/>
            <a:graphic>
              <a:graphicData uri="http://schemas.openxmlformats.org/drawingml/2006/picture">
                <pic:pic>
                  <pic:nvPicPr>
                    <pic:cNvPr descr="figures/ui-01-landing.png" id="143" name="Picture"/>
                    <pic:cNvPicPr>
                      <a:picLocks noChangeArrowheads="1" noChangeAspect="1"/>
                    </pic:cNvPicPr>
                  </pic:nvPicPr>
                  <pic:blipFill>
                    <a:blip r:embed="rId141"/>
                    <a:stretch>
                      <a:fillRect/>
                    </a:stretch>
                  </pic:blipFill>
                  <pic:spPr bwMode="auto">
                    <a:xfrm>
                      <a:off x="0" y="0"/>
                      <a:ext cx="4031999" cy="2267999"/>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44"/>
    <w:bookmarkStart w:id="148" w:name="c.2-resume-analyzer-input-page"/>
    <w:p>
      <w:pPr>
        <w:pStyle w:val="Heading3"/>
        <w:spacing w:line="312" w:lineRule="auto" w:after="80"/>
        <w:ind w:firstLine="283"/>
        <w:jc w:val="both"/>
      </w:pPr>
      <w:r>
        <w:rPr>
          <w:rFonts w:ascii="Times New Roman" w:hAnsi="Times New Roman" w:eastAsia="Times New Roman" w:cs="Times New Roman"/>
          <w:color w:val="000000"/>
          <w:sz w:val="24"/>
        </w:rPr>
        <w:t xml:space="preserve">C.2 Resume Analyzer input page</w:t>
      </w:r>
    </w:p>
    <w:p>
      <w:pPr>
        <w:pStyle w:val="FirstParagraph"/>
        <w:keepNext/>
        <w:spacing w:before="60" w:after="40"/>
        <w:jc w:val="center"/>
      </w:pPr>
      <w:r>
        <w:drawing>
          <wp:inline>
            <wp:extent cx="4031999" cy="2267999"/>
            <wp:effectExtent b="0" l="0" r="0" t="0"/>
            <wp:docPr descr="" title="" id="146" name="Picture"/>
            <a:graphic>
              <a:graphicData uri="http://schemas.openxmlformats.org/drawingml/2006/picture">
                <pic:pic>
                  <pic:nvPicPr>
                    <pic:cNvPr descr="figures/ui-03-resume-input.png" id="147" name="Picture"/>
                    <pic:cNvPicPr>
                      <a:picLocks noChangeArrowheads="1" noChangeAspect="1"/>
                    </pic:cNvPicPr>
                  </pic:nvPicPr>
                  <pic:blipFill>
                    <a:blip r:embed="rId145"/>
                    <a:stretch>
                      <a:fillRect/>
                    </a:stretch>
                  </pic:blipFill>
                  <pic:spPr bwMode="auto">
                    <a:xfrm>
                      <a:off x="0" y="0"/>
                      <a:ext cx="4031999" cy="2267999"/>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8"/>
    <w:bookmarkStart w:id="152" w:name="Xe92b625608c320df0d0e71eef401fce0fea85fc"/>
    <w:p>
      <w:pPr>
        <w:pStyle w:val="Heading3"/>
        <w:spacing w:line="312" w:lineRule="auto" w:after="80"/>
        <w:ind w:firstLine="283"/>
        <w:jc w:val="both"/>
      </w:pPr>
      <w:r>
        <w:rPr>
          <w:rFonts w:ascii="Times New Roman" w:hAnsi="Times New Roman" w:eastAsia="Times New Roman" w:cs="Times New Roman"/>
          <w:color w:val="000000"/>
          <w:sz w:val="24"/>
        </w:rPr>
        <w:t xml:space="preserve">C.3 Resume Analyzer result page (blended mode)</w:t>
      </w:r>
    </w:p>
    <w:p>
      <w:pPr>
        <w:pStyle w:val="FirstParagraph"/>
        <w:keepNext/>
        <w:spacing w:before="60" w:after="40"/>
        <w:jc w:val="center"/>
      </w:pPr>
      <w:r>
        <w:drawing>
          <wp:inline>
            <wp:extent cx="4031999" cy="4531798"/>
            <wp:effectExtent b="0" l="0" r="0" t="0"/>
            <wp:docPr descr="" title="" id="150" name="Picture"/>
            <a:graphic>
              <a:graphicData uri="http://schemas.openxmlformats.org/drawingml/2006/picture">
                <pic:pic>
                  <pic:nvPicPr>
                    <pic:cNvPr descr="figures/ui-04-resume-result.png" id="151" name="Picture"/>
                    <pic:cNvPicPr>
                      <a:picLocks noChangeArrowheads="1" noChangeAspect="1"/>
                    </pic:cNvPicPr>
                  </pic:nvPicPr>
                  <pic:blipFill>
                    <a:blip r:embed="rId149"/>
                    <a:stretch>
                      <a:fillRect/>
                    </a:stretch>
                  </pic:blipFill>
                  <pic:spPr bwMode="auto">
                    <a:xfrm>
                      <a:off x="0" y="0"/>
                      <a:ext cx="4031999" cy="453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52"/>
    <w:bookmarkStart w:id="156" w:name="c.4-job-match-result-page"/>
    <w:p>
      <w:pPr>
        <w:pStyle w:val="Heading3"/>
        <w:spacing w:line="312" w:lineRule="auto" w:after="80"/>
        <w:ind w:firstLine="283"/>
        <w:jc w:val="both"/>
      </w:pPr>
      <w:r>
        <w:rPr>
          <w:rFonts w:ascii="Times New Roman" w:hAnsi="Times New Roman" w:eastAsia="Times New Roman" w:cs="Times New Roman"/>
          <w:color w:val="000000"/>
          <w:sz w:val="24"/>
        </w:rPr>
        <w:t xml:space="preserve">C.4 Job Match result page</w:t>
      </w:r>
    </w:p>
    <w:p>
      <w:pPr>
        <w:pStyle w:val="FirstParagraph"/>
        <w:keepNext/>
        <w:spacing w:before="60" w:after="40"/>
        <w:jc w:val="center"/>
      </w:pPr>
      <w:r>
        <w:drawing>
          <wp:inline>
            <wp:extent cx="4031999" cy="5520898"/>
            <wp:effectExtent b="0" l="0" r="0" t="0"/>
            <wp:docPr descr="" title="" id="154" name="Picture"/>
            <a:graphic>
              <a:graphicData uri="http://schemas.openxmlformats.org/drawingml/2006/picture">
                <pic:pic>
                  <pic:nvPicPr>
                    <pic:cNvPr descr="figures/ui-05-job-match-result.png" id="155" name="Picture"/>
                    <pic:cNvPicPr>
                      <a:picLocks noChangeArrowheads="1" noChangeAspect="1"/>
                    </pic:cNvPicPr>
                  </pic:nvPicPr>
                  <pic:blipFill>
                    <a:blip r:embed="rId153"/>
                    <a:stretch>
                      <a:fillRect/>
                    </a:stretch>
                  </pic:blipFill>
                  <pic:spPr bwMode="auto">
                    <a:xfrm>
                      <a:off x="0" y="0"/>
                      <a:ext cx="4031999" cy="55208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6"/>
    <w:bookmarkEnd w:id="157"/>
    <w:bookmarkStart w:id="161" w:name="appendix-d-configuration-reference"/>
    <w:p>
      <w:pPr>
        <w:pStyle w:val="Heading2"/>
        <w:spacing w:line="312" w:lineRule="auto" w:after="80"/>
        <w:ind w:firstLine="283"/>
        <w:jc w:val="both"/>
      </w:pPr>
      <w:r>
        <w:rPr>
          <w:rFonts w:ascii="Times New Roman" w:hAnsi="Times New Roman" w:eastAsia="Times New Roman" w:cs="Times New Roman"/>
          <w:color w:val="000000"/>
          <w:sz w:val="24"/>
        </w:rPr>
        <w:t xml:space="preserve">Appendix D — Configuration reference</w:t>
      </w:r>
    </w:p>
    <w:bookmarkStart w:id="158" w:name="d.1-backend-environment-variables"/>
    <w:p>
      <w:pPr>
        <w:pStyle w:val="Heading3"/>
        <w:spacing w:line="312" w:lineRule="auto" w:after="8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608"/>
        <w:gridCol w:w="3969"/>
        <w:gridCol w:w="2268"/>
      </w:tblGrid>
      <w:tr>
        <w:trPr>
          <w:tblHeader w:val="on"/>
        </w:trPr>
        <w:tc>
          <w:tcPr>
            <w:tcW w:type="dxa" w:w="260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Variable</w:t>
            </w:r>
          </w:p>
        </w:tc>
        <w:tc>
          <w:tcPr>
            <w:tcW w:type="dxa" w:w="396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Purpose</w:t>
            </w:r>
          </w:p>
        </w:tc>
        <w:tc>
          <w:tcPr>
            <w:tcW w:type="dxa" w:w="226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Default</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DATABASE_URL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PostgreSQL DSN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sqlite:///./career_platform.db</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SECRET_KEY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JWT signing secret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ACCESS_TOKEN_EXPIRE_MINUTES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Access-token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REFRESH_TOKEN_EXPIRE_DAYS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Refresh-token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LLM_PROVIDER</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 dispatch backend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vertex</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LLM_MODEL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Primary Gemini model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gemini-2.5-flash</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LLM_PRACTICE_MODEL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Cheaper model used for interview practice feedback</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VERTEX_PROJECT_ID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Cloud project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VERTEX_LOCATION</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Vertex region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us-central1</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BLENDED_SCORING_ENABLED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Apply 60/40 LLM/heuristic blend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SCORING_MODE</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blended</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RESULT_CACHE_ENABLED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In-memory cache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RESULT_CACHE_TTL_SECONDS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Cache TTL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3600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CORS_ORIGINS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Allowed CORS origins</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FRONTEND_URL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Canonical frontend URL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(set in production)</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OAuth</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RESEND_API_KEY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Transactional email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SENTRY_DSN</w:t>
            </w:r>
          </w:p>
        </w:tc>
        <w:tc>
          <w:tcPr>
            <w:tcW w:type="dxa" w:w="396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Error tracking</w:t>
            </w:r>
          </w:p>
        </w:tc>
        <w:tc>
          <w:tcPr>
            <w:tcW w:type="dxa" w:w="226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(empty disables)</w:t>
            </w:r>
          </w:p>
        </w:tc>
      </w:tr>
    </w:tbl>
    <w:bookmarkEnd w:id="158"/>
    <w:bookmarkStart w:id="159" w:name="d.2-administrative-endpoints"/>
    <w:p>
      <w:pPr>
        <w:pStyle w:val="Heading3"/>
        <w:spacing w:line="312" w:lineRule="auto" w:after="8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response shape returned by both endpoints is:</w:t>
      </w:r>
    </w:p>
    <w:p>
      <w:pPr>
        <w:pStyle w:val="SourceCode"/>
        <w:keepNext w:val="0"/>
        <w:keepLines/>
        <w:spacing w:line="240" w:lineRule="auto" w:before="40" w:after="40"/>
        <w:ind w:firstLine="0" w:left="227" w:right="227"/>
        <w:jc w:val="left"/>
        <w:shd w:val="clear" w:color="auto" w:fill="F5F5F5"/>
      </w:pP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"mode"</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"heuristic_version"</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"v1"</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"blended_weight_heuristic"</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0.4</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"blended_weight_llm"</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0.6</w:t>
      </w:r>
      <w:r>
        <w:rPr>
          <w:rFonts w:ascii="Courier New" w:hAnsi="Courier New" w:eastAsia="Courier New" w:cs="Courier New"/>
          <w:b w:val="0"/>
          <w:i w:val="0"/>
          <w:color w:val="000000"/>
          <w:sz w:val="19"/>
        </w:rPr>
        <w:br/>
      </w:r>
      <w:r>
        <w:rPr>
          <w:rStyle w:val="FunctionTok"/>
          <w:rFonts w:ascii="Courier New" w:hAnsi="Courier New" w:eastAsia="Courier New" w:cs="Courier New"/>
          <w:b w:val="0"/>
          <w:i w:val="0"/>
          <w:color w:val="000000"/>
          <w:sz w:val="19"/>
        </w:rPr>
        <w:t xml:space="preserv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9"/>
    <w:bookmarkStart w:id="160" w:name="d.3-running-the-evaluation-harness"/>
    <w:p>
      <w:pPr>
        <w:pStyle w:val="Heading3"/>
        <w:spacing w:line="312" w:lineRule="auto" w:after="80"/>
        <w:ind w:firstLine="283"/>
        <w:jc w:val="both"/>
      </w:pPr>
      <w:r>
        <w:rPr>
          <w:rFonts w:ascii="Times New Roman" w:hAnsi="Times New Roman" w:eastAsia="Times New Roman" w:cs="Times New Roman"/>
          <w:color w:val="000000"/>
          <w:sz w:val="24"/>
        </w:rPr>
        <w:t xml:space="preserve">D.3 Running the evaluation harness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run used the following commands at the repository root:</w:t>
      </w:r>
    </w:p>
    <w:p>
      <w:pPr>
        <w:pStyle w:val="SourceCode"/>
        <w:keepNext w:val="0"/>
        <w:keepLines/>
        <w:spacing w:line="240" w:lineRule="auto" w:before="40" w:after="40"/>
        <w:ind w:firstLine="0" w:left="227" w:right="227"/>
        <w:jc w:val="left"/>
        <w:shd w:val="clear" w:color="auto" w:fill="F5F5F5"/>
      </w:pP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cd backend</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SCORING_MODE=blended RESULT_CACHE_ENABLED=false </w:t>
      </w:r>
      <w:r>
        <w:rPr>
          <w:rStyle w:val="DataType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python ../scripts/eval_scoring.py</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python ../scripts/analyze_eval_results.py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emits the Markdown-formatted result tables reported in Chapter 4.3.</w:t>
      </w:r>
    </w:p>
    <w:bookmarkEnd w:id="160"/>
    <w:bookmarkEnd w:id="161"/>
    <w:bookmarkEnd w:id="162"/>
    <w:sectPr>
      <w:type w:val="nextPage"/>
      <w:footerReference w:type="default" r:id="rId154"/>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80" w:line="312"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3" Type="http://schemas.openxmlformats.org/officeDocument/2006/relationships/image" Target="media/rId103.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5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2026-05-09T11:46:15Z</dcterms:created>
  <dcterms:modified xsi:type="dcterms:W3CDTF">2026-05-09T11:46:15Z</dcterms:modified>
</cp:coreProperties>
</file>

<file path=docProps/custom.xml><?xml version="1.0" encoding="utf-8"?>
<Properties xmlns="http://schemas.openxmlformats.org/officeDocument/2006/custom-properties" xmlns:vt="http://schemas.openxmlformats.org/officeDocument/2006/docPropsVTypes"/>
</file>