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103.png" ContentType="image/png"/>
  <Override PartName="/word/media/rId141.png" ContentType="image/png"/>
  <Override PartName="/word/media/rId145.png" ContentType="image/png"/>
  <Override PartName="/word/media/rId149.png" ContentType="image/png"/>
  <Override PartName="/word/media/rId153.png" ContentType="image/png"/>
  <Override PartName="/word/media/rId38.png" ContentType="image/png"/>
  <Override PartName="/word/media/rId4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20" w:name="bachelor-thesis"/>
    <w:p>
      <w:pPr>
        <w:pStyle w:val="Heading1"/>
      </w:pPr>
      <w:r>
        <w:t xml:space="preserve">Bachelor Thesis</w:t>
      </w:r>
    </w:p>
    <w:bookmarkStart w:id="19" w:name="Xd478063726b65b0452c9321f694361eb6c13481"/>
    <w:p>
      <w:pPr>
        <w:pStyle w:val="Heading2"/>
      </w:pPr>
      <w: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19"/>
    <w:bookmarkEnd w:id="20"/>
    <w:bookmarkStart w:id="23" w:name="abstract-streszczenie-abstract"/>
    <w:p>
      <w:pPr>
        <w:pStyle w:val="Heading1"/>
      </w:pPr>
      <w:r>
        <w:t xml:space="preserve">Abstract — Streszczenie / Abstract</w:t>
      </w:r>
    </w:p>
    <w:p>
      <w:r>
        <w:pict>
          <v:rect style="width:0;height:1.5pt" o:hralign="center" o:hrstd="t" o:hr="t"/>
        </w:pict>
      </w:r>
    </w:p>
    <w:bookmarkStart w:id="21" w:name="streszczenie"/>
    <w:p>
      <w:pPr>
        <w:pStyle w:val="Heading2"/>
      </w:pPr>
      <w:r>
        <w:rPr>
          <w:lang w:val="pl"/>
        </w:rPr>
        <w:t xml:space="preserve">Streszczenie</w:t>
      </w:r>
    </w:p>
    <w:p>
      <w:pPr>
        <w:pStyle w:val="FirstParagraph"/>
      </w:pPr>
      <w:r>
        <w:rPr>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Frontend zbudowano w technologiach React 19 i TanStack Start; backend wykorzystuje FastAPI oraz PostgreSQL; wnioskowanie modelu językowego delegowano do usługi Google Vertex AI Gemini 2.5 Flash.</w:t>
      </w:r>
    </w:p>
    <w:p>
      <w:pPr>
        <w:pStyle w:val="BodyText"/>
      </w:pPr>
      <w:r>
        <w:rPr>
          <w:lang w:val="pl"/>
        </w:rPr>
        <w:t xml:space="preserve">W odpowiedzi na obawy dotyczące kosztu, opóźnienia oraz zależności od zewnętrznego dostawcy modelu rdzeń analityczny systemu obsługuje dwa przełączalne w czasie działania tryby oceny.</w:t>
      </w:r>
      <w:r>
        <w:rPr>
          <w:lang w:val="pl"/>
        </w:rPr>
        <w:t xml:space="preserve"> </w:t>
      </w:r>
      <w:r>
        <w:rPr>
          <w:i/>
          <w:iCs/>
          <w:lang w:val="pl"/>
        </w:rPr>
        <w:t xml:space="preserve">Tryb mieszany</w:t>
      </w:r>
      <w:r>
        <w:rPr>
          <w:lang w:val="pl"/>
        </w:rPr>
        <w:t xml:space="preserve"> </w:t>
      </w:r>
      <w:r>
        <w:rPr>
          <w:lang w:val="pl"/>
        </w:rPr>
        <w:t xml:space="preserve">łączy deterministyczną heurystykę ze strukturalnym wyjściem modelu językowego (40% / 60%).</w:t>
      </w:r>
      <w:r>
        <w:rPr>
          <w:lang w:val="pl"/>
        </w:rPr>
        <w:t xml:space="preserve"> </w:t>
      </w:r>
      <w:r>
        <w:rPr>
          <w:i/>
          <w:iCs/>
          <w:lang w:val="pl"/>
        </w:rPr>
        <w:t xml:space="preserve">Tryb w pełni heurystyczny</w:t>
      </w:r>
      <w:r>
        <w:rPr>
          <w:lang w:val="pl"/>
        </w:rPr>
        <w:t xml:space="preserve"> </w:t>
      </w:r>
      <w:r>
        <w:rPr>
          <w:lang w:val="pl"/>
        </w:rPr>
        <w:t xml:space="preserve">opiera się na klasycznych metodach wyszukiwania informacji: ważeniu słów kluczowych metodą TF–IDF i rankingowi BM25, normalizacji umiejętności zgodnej z taksonomią ESCO, dopasowaniu rozmytym oraz ekstrakcji cech ważonych sekcjami.</w:t>
      </w:r>
    </w:p>
    <w:p>
      <w:pPr>
        <w:pStyle w:val="BodyText"/>
      </w:pPr>
      <w:r>
        <w:rPr>
          <w:lang w:val="pl"/>
        </w:rPr>
        <w:t xml:space="preserve">Kontrolowane studium porównawcze oceniło oba tryby na 100 parach (CV, opis stanowiska) obejmujących sześć ścieżek zawodowych. Zbiór ewaluacyjny składa się z deterministycznie wygenerowanych par syntetycznych CV i opisów stanowisk skonstruowanych z rozłącznych słownikowo pul fraz; strona CV i strona opisu stanowiska nie współdzielą słownictwa treściowego poza kanonicznymi nazwami umiejętności. W tym zbiorze tryb w pełni heurystyczny śledzi tryb mieszany przy Pearsonowskim</w:t>
      </w:r>
      <w:r>
        <w:rPr>
          <w:lang w:val="pl"/>
        </w:rPr>
        <w:t xml:space="preserve"> </w:t>
      </w:r>
      <w:r>
        <w:rPr>
          <w:i/>
          <w:iCs/>
          <w:lang w:val="pl"/>
        </w:rPr>
        <w:t xml:space="preserve">r</w:t>
      </w:r>
      <w:r>
        <w:rPr>
          <w:lang w:val="pl"/>
        </w:rPr>
        <w:t xml:space="preserve"> </w:t>
      </w:r>
      <w:r>
        <w:rPr>
          <w:lang w:val="pl"/>
        </w:rPr>
        <w:t xml:space="preserve">= 0,836 [95-proc. przedział ufności: 0,762–0,896; bootstrap klastrowy względem identyfikatora CV] oraz Spearmanowskim ρ = 0,847, działa około dwa do trzech rzędów wielkości szybciej (mediana 25,5 ms wobec 18,2 s) oraz nie ponosi krańcowego kosztu po stronie modelu językowego.</w:t>
      </w:r>
    </w:p>
    <w:p>
      <w:pPr>
        <w:pStyle w:val="BodyText"/>
      </w:pPr>
      <w:r>
        <w:rPr>
          <w:lang w:val="pl"/>
        </w:rPr>
        <w:t xml:space="preserve">Korelacja między samym modelem językowym a trybem heurystycznym, odzyskana post-hoc z tożsamości formuły mieszanej w celu odseparowania składowej strukturalnej, wynosi</w:t>
      </w:r>
      <w:r>
        <w:rPr>
          <w:lang w:val="pl"/>
        </w:rPr>
        <w:t xml:space="preserve"> </w:t>
      </w:r>
      <w:r>
        <w:rPr>
          <w:i/>
          <w:iCs/>
          <w:lang w:val="pl"/>
        </w:rPr>
        <w:t xml:space="preserve">r</w:t>
      </w:r>
      <w:r>
        <w:rPr>
          <w:lang w:val="pl"/>
        </w:rPr>
        <w:t xml:space="preserve"> </w:t>
      </w:r>
      <w:r>
        <w:rPr>
          <w:lang w:val="pl"/>
        </w:rPr>
        <w:t xml:space="preserve">= 0,627 [95-proc. przedział ufności: 0,470–0,758]. Tryb mieszany pozostaje wartościowy w ocenie jakości prozy: na osi</w:t>
      </w:r>
      <w:r>
        <w:rPr>
          <w:lang w:val="pl"/>
        </w:rPr>
        <w:t xml:space="preserve"> </w:t>
      </w:r>
      <w:r>
        <w:rPr>
          <w:i/>
          <w:iCs/>
          <w:lang w:val="pl"/>
        </w:rPr>
        <w:t xml:space="preserve">clarity</w:t>
      </w:r>
      <w:r>
        <w:rPr>
          <w:lang w:val="pl"/>
        </w:rPr>
        <w:t xml:space="preserve"> </w:t>
      </w:r>
      <w:r>
        <w:rPr>
          <w:lang w:val="pl"/>
        </w:rPr>
        <w:t xml:space="preserve">zgodność między obydwoma trybami spada do</w:t>
      </w:r>
      <w:r>
        <w:rPr>
          <w:lang w:val="pl"/>
        </w:rPr>
        <w:t xml:space="preserve"> </w:t>
      </w:r>
      <w:r>
        <w:rPr>
          <w:i/>
          <w:iCs/>
          <w:lang w:val="pl"/>
        </w:rPr>
        <w:t xml:space="preserve">r</w:t>
      </w:r>
      <w:r>
        <w:rPr>
          <w:lang w:val="pl"/>
        </w:rPr>
        <w:t xml:space="preserve"> </w:t>
      </w:r>
      <w:r>
        <w:rPr>
          <w:lang w:val="pl"/>
        </w:rPr>
        <w:t xml:space="preserve">= 0,395, co wskazuje, że w tym wymiarze deterministyczna heurystyka nie zastępuje modelu językowego. Ograniczenia obejmują zakres jednojęzyczny (angielski), syntetyczny zbiór jednego autora oraz pojedynczą konfigurację dostawcy modelu językowego. Dalsze prace obejmują rozszerzenie pokrycia językowego na polski (etykiety ESCO, polskojęzyczne wstępne przetwarzanie, detekcję sekcji oraz dwujęzyczną ewaluację), pośredni poziom dopasowania semantycznego oparty na transformatorach zdań, integrację komponentu wyszukiwania wspomagającego oraz wymianę pamięci podręcznej procesu na rozwiązanie współdzielone (Redis).</w:t>
      </w:r>
    </w:p>
    <w:p>
      <w:pPr>
        <w:pStyle w:val="BodyText"/>
      </w:pPr>
      <w:r>
        <w:rPr>
          <w:b/>
          <w:bCs/>
          <w:lang w:val="pl"/>
        </w:rPr>
        <w:t xml:space="preserve">Słowa kluczowe:</w:t>
      </w:r>
      <w:r>
        <w:rPr>
          <w:lang w:val="pl"/>
        </w:rPr>
        <w:t xml:space="preserve"> </w:t>
      </w:r>
      <w:r>
        <w:rPr>
          <w:lang w:val="pl"/>
        </w:rPr>
        <w:t xml:space="preserve">doradztwo zawodowe, analiza CV, duże modele językowe, wyszukiwanie informacji, taksonomia ESCO, ocena hybrydowa, FastAPI, React.</w:t>
      </w:r>
    </w:p>
    <w:bookmarkEnd w:id="21"/>
    <w:bookmarkStart w:id="22" w:name="abstract-english"/>
    <w:p>
      <w:pPr>
        <w:pStyle w:val="Heading2"/>
      </w:pPr>
      <w:r>
        <w:t xml:space="preserve">Abstract (English)</w:t>
      </w:r>
    </w:p>
    <w:p>
      <w:pPr>
        <w:pStyle w:val="FirstParagraph"/>
      </w:pPr>
      <w:r>
        <w:t xml:space="preserve">This thesis presents the design, implementation, and evaluation of an AI-based system for personalised career recommendation. The deployed web application integrates six tools: resume analysis, job-description matching, career-path suggestion, cover-letter generation, interview preparation, and portfolio planning. The frontend uses React 19 and TanStack Start; the backend uses FastAPI and PostgreSQL; language-model inference is delegated to Google Vertex AI Gemini 2.5 Flash.</w:t>
      </w:r>
    </w:p>
    <w:p>
      <w:pPr>
        <w:pStyle w:val="BodyText"/>
      </w:pPr>
      <w:r>
        <w:t xml:space="preserve">To address cost, latency, and external-provider dependence, the analytical core supports two runtime-switchable scoring modes. The</w:t>
      </w:r>
      <w:r>
        <w:t xml:space="preserve"> </w:t>
      </w:r>
      <w:r>
        <w:rPr>
          <w:i/>
          <w:iCs/>
        </w:rPr>
        <w:t xml:space="preserve">blended mode</w:t>
      </w:r>
      <w:r>
        <w:t xml:space="preserve"> </w:t>
      </w:r>
      <w:r>
        <w:t xml:space="preserve">combines a deterministic heuristic with the language model’s structured output at 40% / 60% weighting. The</w:t>
      </w:r>
      <w:r>
        <w:t xml:space="preserve"> </w:t>
      </w:r>
      <w:r>
        <w:rPr>
          <w:i/>
          <w:iCs/>
        </w:rPr>
        <w:t xml:space="preserve">fully heuristic mode</w:t>
      </w:r>
      <w:r>
        <w:t xml:space="preserve"> </w:t>
      </w:r>
      <w:r>
        <w:t xml:space="preserve">uses classical information-retrieval methods: TF–IDF and BM25 keyword evidence, ESCO-aligned skill normalisation, string-similarity fuzzy matching, and section-weighted feature extraction.</w:t>
      </w:r>
    </w:p>
    <w:p>
      <w:pPr>
        <w:pStyle w:val="BodyText"/>
      </w:pPr>
      <w:r>
        <w:t xml:space="preserve">A controlled comparative study evaluated both modes on 100 synthetic resume/job-description pairs spanning six role tracks. The benchmark was deterministically generated under a disjoint-vocabulary construction: resume-side and job-description-side phrase pools share no content-word vocabulary beyond canonical skill terms. Within this benchmark, heuristic mode tracks blended mode at Pearson</w:t>
      </w:r>
      <w:r>
        <w:t xml:space="preserve"> </w:t>
      </w:r>
      <w:r>
        <w:rPr>
          <w:i/>
          <w:iCs/>
        </w:rPr>
        <w:t xml:space="preserve">r</w:t>
      </w:r>
      <w:r>
        <w:t xml:space="preserve"> </w:t>
      </w:r>
      <w:r>
        <w:t xml:space="preserve">= 0.836 [95% CI 0.762, 0.896 under cluster bootstrap on resume identity] and Spearman ρ = 0.847, while running much faster (median 25.5 ms vs 18.2 s) and incurring zero LLM-side marginal cost. The post-hoc LLM-only-versus-heuristic correlation is</w:t>
      </w:r>
      <w:r>
        <w:t xml:space="preserve"> </w:t>
      </w:r>
      <w:r>
        <w:rPr>
          <w:i/>
          <w:iCs/>
        </w:rPr>
        <w:t xml:space="preserve">r</w:t>
      </w:r>
      <w:r>
        <w:t xml:space="preserve"> </w:t>
      </w:r>
      <w:r>
        <w:t xml:space="preserve">= 0.627 [95% CI 0.470, 0.758], after controlling for the 0.40 heuristic share embedded in the blended formula.</w:t>
      </w:r>
    </w:p>
    <w:p>
      <w:pPr>
        <w:pStyle w:val="BodyText"/>
      </w:pPr>
      <w:r>
        <w:t xml:space="preserve">These results support the heuristic mode as a fast, auditable fallback, while the blended mode retains value on prose-quality evidence (clarity sub-score</w:t>
      </w:r>
      <w:r>
        <w:t xml:space="preserve"> </w:t>
      </w:r>
      <w:r>
        <w:rPr>
          <w:i/>
          <w:iCs/>
        </w:rPr>
        <w:t xml:space="preserve">r</w:t>
      </w:r>
      <w:r>
        <w:t xml:space="preserve"> </w:t>
      </w:r>
      <w:r>
        <w:t xml:space="preserve">= 0.395). Limitations include English-only evaluation, a single-author synthetic dataset, and one LLM provider. Future work proposes Polish-language coverage (ESCO label expansion, Polish-aware preprocessing, section detection, and bilingual evaluation), a sentence-transformer intermediate tier, retrieval-augmented grounding, and a Redis-backed shared cache.</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22"/>
    <w:bookmarkEnd w:id="23"/>
    <w:bookmarkStart w:id="24" w:name="acknowledgements"/>
    <w:p>
      <w:pPr>
        <w:pStyle w:val="Heading1"/>
      </w:pPr>
      <w: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24"/>
    <w:bookmarkStart w:id="26" w:name="list-of-abbreviations-and-symbols"/>
    <w:p>
      <w:pPr>
        <w:pStyle w:val="Heading1"/>
      </w:pPr>
      <w: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CI</w:t>
            </w:r>
          </w:p>
        </w:tc>
        <w:tc>
          <w:tcPr/>
          <w:p>
            <w:pPr>
              <w:pStyle w:val="Compact"/>
            </w:pPr>
            <w:r>
              <w:t xml:space="preserve">Confidence Interval / Continuous Integration, depending on context</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ESCO</w:t>
            </w:r>
          </w:p>
        </w:tc>
        <w:tc>
          <w:tcPr/>
          <w:p>
            <w:pPr>
              <w:pStyle w:val="Compact"/>
            </w:pPr>
            <w:r>
              <w:t xml:space="preserve">European Skills, Competences, Qualifications and Occupations</w:t>
            </w:r>
          </w:p>
        </w:tc>
      </w:tr>
      <w:tr>
        <w:tc>
          <w:tcPr/>
          <w:p>
            <w:pPr>
              <w:pStyle w:val="Compact"/>
            </w:pPr>
            <w:r>
              <w:t xml:space="preserve">FastAPI</w:t>
            </w:r>
          </w:p>
        </w:tc>
        <w:tc>
          <w:tcPr/>
          <w:p>
            <w:pPr>
              <w:pStyle w:val="Compact"/>
            </w:pPr>
            <w:r>
              <w:t xml:space="preserve">Python web framework used by the backend</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 large-language-model family used through Vertex AI</w:t>
            </w:r>
          </w:p>
        </w:tc>
      </w:tr>
      <w:tr>
        <w:tc>
          <w:tcPr/>
          <w:p>
            <w:pPr>
              <w:pStyle w:val="Compact"/>
            </w:pPr>
            <w:r>
              <w:t xml:space="preserve">HTTP / HTTPS</w:t>
            </w:r>
          </w:p>
        </w:tc>
        <w:tc>
          <w:tcPr/>
          <w:p>
            <w:pPr>
              <w:pStyle w:val="Compact"/>
            </w:pPr>
            <w:r>
              <w:t xml:space="preserve">HyperText Transfer Protocol / HTTP Secure</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JD</w:t>
            </w:r>
          </w:p>
        </w:tc>
        <w:tc>
          <w:tcPr/>
          <w:p>
            <w:pPr>
              <w:pStyle w:val="Compact"/>
            </w:pPr>
            <w:r>
              <w:t xml:space="preserve">Job Description</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Authorisation / federated-identity protocol</w:t>
            </w:r>
          </w:p>
        </w:tc>
      </w:tr>
      <w:tr>
        <w:tc>
          <w:tcPr/>
          <w:p>
            <w:pPr>
              <w:pStyle w:val="Compact"/>
            </w:pPr>
            <w:r>
              <w:t xml:space="preserve">O*NET</w:t>
            </w:r>
          </w:p>
        </w:tc>
        <w:tc>
          <w:tcPr/>
          <w:p>
            <w:pPr>
              <w:pStyle w:val="Compact"/>
            </w:pPr>
            <w:r>
              <w:t xml:space="preserve">Occupational Information Network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PWr</w:t>
            </w:r>
          </w:p>
        </w:tc>
        <w:tc>
          <w:tcPr/>
          <w:p>
            <w:pPr>
              <w:pStyle w:val="Compact"/>
            </w:pPr>
            <w:r>
              <w:t xml:space="preserve">Politechnika Wrocławska /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SBERT</w:t>
            </w:r>
          </w:p>
        </w:tc>
        <w:tc>
          <w:tcPr/>
          <w:p>
            <w:pPr>
              <w:pStyle w:val="Compact"/>
            </w:pPr>
            <w:r>
              <w:t xml:space="preserve">Sentence-BERT</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UI / UX</w:t>
            </w:r>
          </w:p>
        </w:tc>
        <w:tc>
          <w:tcPr/>
          <w:p>
            <w:pPr>
              <w:pStyle w:val="Compact"/>
            </w:pPr>
            <w:r>
              <w:t xml:space="preserve">User Interface / User Experience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WEFiM</w:t>
            </w:r>
          </w:p>
        </w:tc>
        <w:tc>
          <w:tcPr/>
          <w:p>
            <w:pPr>
              <w:pStyle w:val="Compact"/>
            </w:pPr>
            <w:r>
              <w:t xml:space="preserve">Faculty of Electronics, Photonics and Microsystems</w:t>
            </w:r>
          </w:p>
        </w:tc>
      </w:tr>
    </w:tbl>
    <w:bookmarkStart w:id="25" w:name="symbols-used-in-formulas-in-chapter-4"/>
    <w:p>
      <w:pPr>
        <w:pStyle w:val="Heading2"/>
      </w:pPr>
      <w: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t xml:space="preserve">ρ, τ</w:t>
            </w:r>
          </w:p>
        </w:tc>
        <w:tc>
          <w:tcPr/>
          <w:p>
            <w:pPr>
              <w:pStyle w:val="Compact"/>
            </w:pPr>
            <w:r>
              <w:t xml:space="preserve">Spearman and Kendall rank-correlation coefficients</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term-frequency saturation and document-length normalisation parameters</w:t>
            </w:r>
          </w:p>
        </w:tc>
      </w:tr>
      <w:tr>
        <w:tc>
          <w:tcPr/>
          <w:p>
            <w:pPr>
              <w:pStyle w:val="Compact"/>
            </w:pPr>
            <w:r>
              <w:rPr>
                <w:i/>
                <w:iCs/>
              </w:rPr>
              <w:t xml:space="preserve">τ</w:t>
            </w:r>
          </w:p>
        </w:tc>
        <w:tc>
          <w:tcPr/>
          <w:p>
            <w:pPr>
              <w:pStyle w:val="Compact"/>
            </w:pPr>
            <w:r>
              <w:t xml:space="preserve">Fuzzy-matching similarity threshold</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w:t>
            </w:r>
          </w:p>
        </w:tc>
      </w:tr>
    </w:tbl>
    <w:bookmarkEnd w:id="25"/>
    <w:bookmarkEnd w:id="26"/>
    <w:bookmarkStart w:id="33" w:name="chapter-1-introduction"/>
    <w:p>
      <w:pPr>
        <w:pStyle w:val="Heading1"/>
      </w:pPr>
      <w: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 before it reaches a recruiter.</w:t>
      </w:r>
    </w:p>
    <w:p>
      <w:pPr>
        <w:pStyle w:val="BodyText"/>
      </w:pPr>
      <w:r>
        <w:t xml:space="preserve">A working candidate trying to answer those questions today typically uses a fragmented set of tools: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27" w:name="the-career-decision-problem"/>
    <w:p>
      <w:pPr>
        <w:pStyle w:val="Heading2"/>
      </w:pPr>
      <w:r>
        <w:t xml:space="preserve">1.1 The career decision problem</w:t>
      </w:r>
    </w:p>
    <w:p>
      <w:pPr>
        <w:pStyle w:val="FirstParagraph"/>
      </w:pPr>
      <w:r>
        <w:t xml:space="preserve">Career decision making combines three sub-problems.</w:t>
      </w:r>
      <w:r>
        <w:t xml:space="preserve"> </w:t>
      </w:r>
      <w:r>
        <w:rPr>
          <w:i/>
          <w:iCs/>
        </w:rPr>
        <w:t xml:space="preserve">Self-assessment</w:t>
      </w:r>
      <w:r>
        <w:t xml:space="preserve"> </w:t>
      </w:r>
      <w:r>
        <w:t xml:space="preserve">asks the candidate to describe skills, experience, and preferences in a machine-readable form.</w:t>
      </w:r>
      <w:r>
        <w:t xml:space="preserve"> </w:t>
      </w:r>
      <w:r>
        <w:rPr>
          <w:i/>
          <w:iCs/>
        </w:rPr>
        <w:t xml:space="preserve">Market alignment</w:t>
      </w:r>
      <w:r>
        <w:t xml:space="preserve"> </w:t>
      </w:r>
      <w:r>
        <w:t xml:space="preserve">asks how that profile compares with job descriptions.</w:t>
      </w:r>
      <w:r>
        <w:t xml:space="preserve"> </w:t>
      </w:r>
      <w:r>
        <w:rPr>
          <w:i/>
          <w:iCs/>
        </w:rPr>
        <w:t xml:space="preserve">Action planning</w:t>
      </w:r>
      <w:r>
        <w:t xml:space="preserve"> </w:t>
      </w:r>
      <w:r>
        <w:t xml:space="preserve">asks which changes, projects, or interview stories would improve the candidate’s position.</w:t>
      </w:r>
    </w:p>
    <w:p>
      <w:pPr>
        <w:pStyle w:val="BodyText"/>
      </w:pPr>
      <w:r>
        <w:t xml:space="preserve">These problems have usually been studied separately. Career-counselling research treats self-assessment as a structured guidance problem [15]. Information-retrieval research treats market alignment as ranking over job postings [13, 21]. Decision-support research frames action planning as a recommendation task under uncertainty [1, 2]. The practical gap is the absence of a single system in which all three stages share one candidate representation.</w:t>
      </w:r>
    </w:p>
    <w:p>
      <w:pPr>
        <w:pStyle w:val="BodyText"/>
      </w:pPr>
      <w:r>
        <w:t xml:space="preserve">The integrated representation matters because one fact can support several decisions. A quantified backend-project bullet may raise the resume quality score, improve fit against a backend job description, justify a stronger cover-letter paragraph, and supply a story for a behavioural interview answer. If the tools are separated, the user must manually preserve and reinterpret that fact; if they share a representation, the system can carry it forward.</w:t>
      </w:r>
    </w:p>
    <w:bookmarkEnd w:id="27"/>
    <w:bookmarkStart w:id="28" w:name="Xb2b33d9c0e4613654e8bd0dc0463185643a1762"/>
    <w:p>
      <w:pPr>
        <w:pStyle w:val="Heading2"/>
      </w:pPr>
      <w:r>
        <w:t xml:space="preserve">1.2 AI-based recommendation systems for careers</w:t>
      </w:r>
    </w:p>
    <w:p>
      <w:pPr>
        <w:pStyle w:val="FirstParagraph"/>
      </w:pPr>
      <w:r>
        <w:t xml:space="preserve">Classical recommender systems rely on many users repeatedly interacting with dense item catalogues. Career recommendation is different: job titles are sparse, employer labels are inconsistent, resume evidence is unstructured, and a single user produces few explicit preference signals. Recent career systems therefore treat the task less as collaborative filtering and more as structured matching between a resume and a job description projected into a shared representation [6, 8, 9, 10, 11, 12, 13].</w:t>
      </w:r>
    </w:p>
    <w:p>
      <w:pPr>
        <w:pStyle w:val="BodyText"/>
      </w:pPr>
      <w:r>
        <w:t xml:space="preserve">CareerRec [15], for example, applies tree-based classifiers to 2,255 information-technology employee records and reports about 70% accuracy on career-path classification — a different task framing (single-label classification over a closed catalogue) and data surface (real IT-employee records) than the resume-to-job-description scoring problem evaluated in Chapter 4, which is why a head-to-head comparison is not pursued in the present thesis. Broader AI decision-support work [1, 2] shows the same movement from manually engineered features toward learned representations. These systems help select or rank career options, but they usually stop before the candidate has to act on the recommendation. The present thesis extends that workflow by combining assessment, job matching, cover-letter support, interview preparation, and portfolio planning in one application.</w:t>
      </w:r>
    </w:p>
    <w:p>
      <w:pPr>
        <w:pStyle w:val="BodyText"/>
      </w:pPr>
      <w:r>
        <w:t xml:space="preserve">This extension is intentionally engineering-oriented. The thesis is not only an offline modelling exercise. It asks whether recommendation logic can be embedded in a deployed workflow where a candidate uploads a resume, receives structured feedback, follows the result into another tool, and later returns to earlier runs through persistent history.</w:t>
      </w:r>
    </w:p>
    <w:bookmarkEnd w:id="28"/>
    <w:bookmarkStart w:id="29" w:name="X0f507a345d505e2b6b09af5902860f6a3d367ad"/>
    <w:p>
      <w:pPr>
        <w:pStyle w:val="Heading2"/>
      </w:pPr>
      <w:r>
        <w:t xml:space="preserve">1.3 Resume parsing and job-description analysis</w:t>
      </w:r>
    </w:p>
    <w:p>
      <w:pPr>
        <w:pStyle w:val="FirstParagraph"/>
      </w:pPr>
      <w:r>
        <w:t xml:space="preserve">Resume matching starts with structure extraction from free-form text. Early resume parsers used regular expressions and section-header dictionaries to identify names, dates, education, experience, and skills [14]. Such parsers are brittle against unusual formatting but remain valuable as deterministic, inspectable baselines.</w:t>
      </w:r>
    </w:p>
    <w:p>
      <w:pPr>
        <w:pStyle w:val="BodyText"/>
      </w:pPr>
      <w:r>
        <w:t xml:space="preserve">Modern parsers rely more heavily on natural-language processing. Named-entity-recognition models extract organisations, dates, and skills; transformer models improve contextual interpretation of ambiguous phrases [4]. Resume2Vec [18] reports a 15.85% improvement in normalised discounted cumulative gain over a non-contextual ATS baseline by using resume embeddings.</w:t>
      </w:r>
    </w:p>
    <w:p>
      <w:pPr>
        <w:pStyle w:val="BodyText"/>
      </w:pPr>
      <w:r>
        <w:t xml:space="preserve">Job-description analysis is the demand-side counterpart. Recent work links job postings to standardised taxonomies such as ESCO, the European multilingual classification [8], and O*NET. This normalisation lets</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resolve to the same skill. The literature includes top-down ESCO matching and model-based approaches such as JobBERT, ESCOXLM-R, and LLM-assisted skill extraction [9, 10, 11, 12, 13]. The system implemented here adopts a top-down strategy: a curated ESCO subset is bundled with the application and used to normalise skills on both sides of the match.</w:t>
      </w:r>
    </w:p>
    <w:bookmarkEnd w:id="29"/>
    <w:bookmarkStart w:id="30" w:name="Xa6a123f0eef37d7de42a3068fa80ba2182618c4"/>
    <w:p>
      <w:pPr>
        <w:pStyle w:val="Heading2"/>
      </w:pPr>
      <w: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tens of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much of the lexical and structural evidence that automated screening systems extract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shows that LLM-based agents can accelerate resume-screening workflows relative to manual review [16], while context-aware multi-agent systems produce explainable candidate assessments aligned against HR ratings [17]. A complementary semantic-modelling and feedback-loop architecture for resume enhancement is reported in [19]. Resume2Vec [18] documents improved resume/job-description ranking over conventional ATS baselines.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(both have well-understood failure modes)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t xml:space="preserve"> </w:t>
      </w:r>
      <w:r>
        <w:rPr>
          <w:i/>
          <w:iCs/>
        </w:rPr>
        <w:t xml:space="preserve">after</w:t>
      </w:r>
      <w:r>
        <w:t xml:space="preserve"> </w:t>
      </w:r>
      <w:r>
        <w:t xml:space="preserve">the blended pipeline already existed; this sequencing shaped the heuristic toward the specific decisions the language model was already making in production rather than toward an idealised retrieval-research baseline, and Chapter 4 treats the resulting design coupling as a disclosed validity threat rather than a hidden one.</w:t>
      </w:r>
    </w:p>
    <w:p>
      <w:pPr>
        <w:pStyle w:val="BodyText"/>
      </w:pPr>
      <w:r>
        <w:t xml:space="preserve">The value of the comparison is operational as well as scientific. If the heuristic preserves useful ranking behaviour, it can act as a low-cost fallback when the LLM is unavailable, as a live demonstration mode during the diploma defence, and as a high-volume preview path that does not accumulate per-call inference cost. If it fails, the system still benefits from the blended mode, but the fallback must then be framed only as an emergency response.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p>
      <w:r>
        <w:br w:type="page"/>
      </w:r>
    </w:p>
    <w:bookmarkEnd w:id="30"/>
    <w:bookmarkStart w:id="31" w:name="purpose-of-the-thesis"/>
    <w:p>
      <w:pPr>
        <w:pStyle w:val="Heading2"/>
      </w:pPr>
      <w: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context, generating personalised suggestions through a combination of classical information-retrieval methods and large-language-model inference.</w:t>
      </w:r>
    </w:p>
    <w:p>
      <w:pPr>
        <w:pStyle w:val="BodyText"/>
      </w:pPr>
      <w:r>
        <w:t xml:space="preserve">The scope follows the application approved in the</w:t>
      </w:r>
      <w:r>
        <w:t xml:space="preserve"> </w:t>
      </w:r>
      <w:r>
        <w:rPr>
          <w:i/>
          <w:iCs/>
        </w:rPr>
        <w:t xml:space="preserve">Archive of Diploma Theses</w:t>
      </w:r>
      <w:r>
        <w:t xml:space="preserve"> </w:t>
      </w:r>
      <w:r>
        <w:t xml:space="preserve">on 3 February 2026 and has two aspects.</w:t>
      </w:r>
    </w:p>
    <w:p>
      <w:pPr>
        <w:pStyle w:val="BodyText"/>
      </w:pPr>
      <w:r>
        <w:t xml:space="preserve">The</w:t>
      </w:r>
      <w:r>
        <w:t xml:space="preserve"> </w:t>
      </w:r>
      <w:r>
        <w:rPr>
          <w:b/>
          <w:bCs/>
        </w:rPr>
        <w:t xml:space="preserve">engineering aspect</w:t>
      </w:r>
      <w:r>
        <w:t xml:space="preserve"> </w:t>
      </w:r>
      <w:r>
        <w:t xml:space="preserve">is a deployed web application integrating six tools: Resume Analyzer, Job Match, Career Path, Cover Letter, Interview Q&amp;A, and Portfolio Planner. The implementation uses a Python/FastAPI backend, a React/TanStack Start frontend, PostgreSQL persistence for users and tool-run history, Google Vertex AI Gemini 2.5 Flash for LLM inference, Railway deployment, and operational monitoring through Railway metrics and Sentry.</w:t>
      </w:r>
    </w:p>
    <w:p>
      <w:pPr>
        <w:pStyle w:val="BodyText"/>
      </w:pPr>
      <w:r>
        <w:t xml:space="preserve">The</w:t>
      </w:r>
      <w:r>
        <w:t xml:space="preserve"> </w:t>
      </w:r>
      <w:r>
        <w:rPr>
          <w:b/>
          <w:bCs/>
        </w:rPr>
        <w:t xml:space="preserve">research aspect</w:t>
      </w:r>
      <w:r>
        <w:t xml:space="preserve"> </w:t>
      </w:r>
      <w:r>
        <w:t xml:space="preserve">is a controlled comparison of two scoring modes. The blended mode combines heuristic and LLM outputs with 40% / 60% weighting. The fully heuristic mode uses TF–IDF/BM25 keyword evidence, ESCO-aligned normalisation, fuzzy matching, section-weighted features, quantification detection, and action-verb scoring. Both modes are evaluated on a synthetic single-author benchmark of 100 resume/job-description pairs spanning six role tracks using score agreement, distribution shape, latency, and per-call cost.</w:t>
      </w:r>
    </w:p>
    <w:p>
      <w:pPr>
        <w:pStyle w:val="BodyText"/>
      </w:pPr>
      <w:r>
        <w:t xml:space="preserve">The thesis does not claim that one mode is universally superior. Its design answer is to keep both modes available: the heuristic mode offers a deterministic fallback when LLM access is unavailable or insufficiently auditable, while the blended mode preserves richer prose and role-fit reasoning.</w:t>
      </w:r>
    </w:p>
    <w:p>
      <w:pPr>
        <w:pStyle w:val="BodyText"/>
      </w:pPr>
      <w:r>
        <w:t xml:space="preserve">This dual-mode design also protects the system against two deployment constraints. Budget-limited environments may prefer a local deterministic path for high-volume screening, while audit-sensitive environments may require explanations traceable to fixed scoring rules. The blended path remains the default because it produces richer guidance, but the deterministic path gives the system a defendable degraded mode.</w:t>
      </w:r>
    </w:p>
    <w:p>
      <w:pPr>
        <w:pStyle w:val="BodyText"/>
      </w:pPr>
      <w:r>
        <w:t xml:space="preserve">The thesis therefore evaluates the system at two levels. At the product level, success means that six career-support tools operate around one resume representation and persist their results in a coherent workflow. At the analytical level, success means that the score-comparison experiment is reproducible, that the heuristic baseline is specified clearly enough to audit, and that the reported limits prevent the result from being overgeneralised.</w:t>
      </w:r>
    </w:p>
    <w:bookmarkEnd w:id="31"/>
    <w:bookmarkStart w:id="32" w:name="structure-of-the-thesis"/>
    <w:p>
      <w:pPr>
        <w:pStyle w:val="Heading2"/>
      </w:pPr>
      <w:r>
        <w:t xml:space="preserve">1.6 Structure of the thesis</w:t>
      </w:r>
    </w:p>
    <w:p>
      <w:pPr>
        <w:pStyle w:val="FirstParagraph"/>
      </w:pPr>
      <w:r>
        <w:t xml:space="preserve">Chapter 2 describes the system architecture: requirements, technology stack, backend layering, frontend routing and state, persistence, security, and Railway deployment.</w:t>
      </w:r>
    </w:p>
    <w:p>
      <w:pPr>
        <w:pStyle w:val="BodyText"/>
      </w:pPr>
      <w:r>
        <w:t xml:space="preserve">Chapter 3 describes the six tools and the shared implementation patterns:</w:t>
      </w:r>
      <w:r>
        <w:t xml:space="preserve"> </w:t>
      </w:r>
      <w:r>
        <w:rPr>
          <w:rStyle w:val="VerbatimChar"/>
        </w:rPr>
        <w:t xml:space="preserve">run_tool_pipeline</w:t>
      </w:r>
      <w:r>
        <w:t xml:space="preserve">, prompt construction, structured-output validation, caching, retry behaviour, and heuristic fallback.</w:t>
      </w:r>
    </w:p>
    <w:p>
      <w:pPr>
        <w:pStyle w:val="BodyText"/>
      </w:pPr>
      <w:r>
        <w:t xml:space="preserve">Chapter 4 presents the comparative study. It defines the synthetic dataset and controls, specifies the strong heuristic v2, reports agreement, distribution, latency, cost, and ablation results, and discusses limitations.</w:t>
      </w:r>
    </w:p>
    <w:p>
      <w:pPr>
        <w:pStyle w:val="BodyText"/>
      </w:pPr>
      <w:r>
        <w:t xml:space="preserve">Chapter 5 concludes the thesis by summarising the engineering and empirical contributions, restating the limitations, and identifying four future-work directions: Polish-language coverage, a sentence-transformer intermediate tier [20, 21], retrieval-augmented grounding for LLM outputs [25], and a Redis-backed shared cache.</w:t>
      </w:r>
    </w:p>
    <w:p>
      <w:pPr>
        <w:pStyle w:val="BodyText"/>
      </w:pPr>
      <w:r>
        <w:t xml:space="preserve">The bibliography lists the cited works. Appendix A provides representative source listings, Appendix B documents the synthetic dataset, Appendix C shows production screenshots, and Appendix D records the backend configuration reference.</w:t>
      </w:r>
    </w:p>
    <w:bookmarkEnd w:id="32"/>
    <w:bookmarkEnd w:id="33"/>
    <w:bookmarkStart w:id="59" w:name="chapter-2-system-architecture"/>
    <w:p>
      <w:pPr>
        <w:pStyle w:val="Heading1"/>
      </w:pPr>
      <w: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36" w:name="X543fc3ee69d8b9eebfbf21368042f80b38ec856"/>
    <w:p>
      <w:pPr>
        <w:pStyle w:val="Heading2"/>
      </w:pPr>
      <w: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34" w:name="functional-requirements"/>
    <w:p>
      <w:pPr>
        <w:pStyle w:val="Heading3"/>
      </w:pPr>
      <w:r>
        <w:t xml:space="preserve">2.1.1 Functional requirements</w:t>
      </w:r>
    </w:p>
    <w:p>
      <w:pPr>
        <w:pStyle w:val="FirstParagraph"/>
      </w:pPr>
      <w:r>
        <w:t xml:space="preserve">The functional requirements are summarised in Table 2.1; each row corresponds to one of the six user-facing tools whose implementation is described in Chapter 3.</w:t>
      </w:r>
    </w:p>
    <w:p>
      <w:pPr>
        <w:pStyle w:val="BodyText"/>
      </w:pPr>
      <w:r>
        <w:rPr>
          <w:i/>
          <w:iCs/>
        </w:rPr>
        <w:t xml:space="preserve">Table 2.1: Functional requirements F1–F6, one per user-facing tool.</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Three workflow constraints apply across all six tools. The same uploaded resume must serve as input across every tool without re-entry. Tool runs must be re-runnable: regeneration must produce a new history record rather than overwriting the original, so that a user can iterate without losing earlier output. A previously generated result must be referenceable as context when invoking another tool, so that a Cover Letter run can consume a Job Match result and an Interview Q&amp;A run can consume a Resume Analyzer result without manual copy-pasting between tools.</w:t>
      </w:r>
    </w:p>
    <w:bookmarkEnd w:id="34"/>
    <w:bookmarkStart w:id="35" w:name="non-functional-requirements"/>
    <w:p>
      <w:pPr>
        <w:pStyle w:val="Heading3"/>
      </w:pPr>
      <w: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p>
      <w:pPr>
        <w:pStyle w:val="FirstParagraph"/>
      </w:pPr>
      <w:r>
        <w:t xml:space="preserve">The latency requirement N1 was split into N1a and N1b after measurement. An earlier single cold-path target below five seconds did not match the observed behaviour of structured LLM calls, which the comparative study in Chapter 4 confirms run for tens of seconds rather than under five. Separating the two targets keeps the requirement honest: the heuristic path is evaluated as local computation whose latency is fully under the application’s control, while the blended path is evaluated as an upstream-service workflow whose tail latency is governed by the third-party inference provider and absorbed by the retry policy described in Section 3.1.1.</w:t>
      </w:r>
    </w:p>
    <w:bookmarkEnd w:id="35"/>
    <w:bookmarkEnd w:id="36"/>
    <w:bookmarkStart w:id="37" w:name="technology-stack-and-rationale"/>
    <w:p>
      <w:pPr>
        <w:pStyle w:val="Heading2"/>
      </w:pPr>
      <w:r>
        <w:t xml:space="preserve">2.2 Technology stack and rationale</w:t>
      </w:r>
    </w:p>
    <w:p>
      <w:pPr>
        <w:pStyle w:val="FirstParagraph"/>
      </w:pPr>
      <w:r>
        <w:t xml:space="preserve">The technology stack is summarised in Table 2.2.</w:t>
      </w:r>
    </w:p>
    <w:p>
      <w:pPr>
        <w:pStyle w:val="BodyText"/>
      </w:pPr>
      <w:r>
        <w:rPr>
          <w:i/>
          <w:iCs/>
        </w:rPr>
        <w:t xml:space="preserve">Table 2.2: System technology stack. Rationale entries record the specific property of each choice that makes it suitable for the thesis-scope deployment.</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 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p>
      <w:pPr>
        <w:pStyle w:val="BodyText"/>
      </w:pPr>
      <w:r>
        <w:t xml:space="preserve">The deployment stack reflects the thesis boundary. Railway provides enough operational structure for a live system without requiring a separate platform-engineering layer. PostgreSQL is used instead of a document store because tool history, users, regeneration chains, and workspaces are relational by nature. Sentry and Railway metrics are sufficient for defect investigation at thesis traffic levels.</w:t>
      </w:r>
    </w:p>
    <w:bookmarkEnd w:id="37"/>
    <w:bookmarkStart w:id="48" w:name="backend-architecture"/>
    <w:p>
      <w:pPr>
        <w:pStyle w:val="Heading2"/>
      </w:pPr>
      <w:r>
        <w:t xml:space="preserve">2.3 Backend architecture</w:t>
      </w:r>
    </w:p>
    <w:p>
      <w:pPr>
        <w:pStyle w:val="FirstParagraph"/>
      </w:pPr>
      <w:r>
        <w:t xml:space="preserve">The backend is structured in four horizontal layers (Figure 2.1).</w:t>
      </w:r>
    </w:p>
    <w:p>
      <w:pPr>
        <w:pStyle w:val="CaptionedFigure"/>
      </w:pPr>
      <w:r>
        <w:drawing>
          <wp:inline>
            <wp:extent cx="5504749" cy="3975652"/>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39" name="Picture"/>
            <a:graphic>
              <a:graphicData uri="http://schemas.openxmlformats.org/drawingml/2006/picture">
                <pic:pic>
                  <pic:nvPicPr>
                    <pic:cNvPr descr="figures/v2/figure-2-1.png" id="40" name="Picture"/>
                    <pic:cNvPicPr>
                      <a:picLocks noChangeArrowheads="1" noChangeAspect="1"/>
                    </pic:cNvPicPr>
                  </pic:nvPicPr>
                  <pic:blipFill>
                    <a:blip r:embed="rId38"/>
                    <a:stretch>
                      <a:fillRect/>
                    </a:stretch>
                  </pic:blipFill>
                  <pic:spPr bwMode="auto">
                    <a:xfrm>
                      <a:off x="0" y="0"/>
                      <a:ext cx="5504749" cy="3975652"/>
                    </a:xfrm>
                    <a:prstGeom prst="rect">
                      <a:avLst/>
                    </a:prstGeom>
                    <a:noFill/>
                    <a:ln w="9525">
                      <a:noFill/>
                      <a:headEnd/>
                      <a:tailEnd/>
                    </a:ln>
                  </pic:spPr>
                </pic:pic>
              </a:graphicData>
            </a:graphic>
          </wp:inline>
        </w:drawing>
      </w:r>
    </w:p>
    <w:p>
      <w:pPr>
        <w:pStyle w:val="ImageCaption"/>
      </w:pPr>
      <w:r>
        <w:t xml:space="preserve">Figure 2.1: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41" w:name="routers"/>
    <w:p>
      <w:pPr>
        <w:pStyle w:val="Heading3"/>
      </w:pPr>
      <w: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job_posts</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 Keeping routers thin makes the tool services and the shared pipeline the main units of behaviour, and means that a new endpoint typically requires only a new prompt module and a service function rather than any router-level plumbing.</w:t>
      </w:r>
    </w:p>
    <w:bookmarkEnd w:id="41"/>
    <w:bookmarkStart w:id="45" w:name="the-shared-tool-pipeline"/>
    <w:p>
      <w:pPr>
        <w:pStyle w:val="Heading3"/>
      </w:pPr>
      <w: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pPr>
      <w:r>
        <w:drawing>
          <wp:inline>
            <wp:extent cx="5504749" cy="3975652"/>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43" name="Picture"/>
            <a:graphic>
              <a:graphicData uri="http://schemas.openxmlformats.org/drawingml/2006/picture">
                <pic:pic>
                  <pic:nvPicPr>
                    <pic:cNvPr descr="figures/v2/figure-2-2.png" id="44" name="Picture"/>
                    <pic:cNvPicPr>
                      <a:picLocks noChangeArrowheads="1" noChangeAspect="1"/>
                    </pic:cNvPicPr>
                  </pic:nvPicPr>
                  <pic:blipFill>
                    <a:blip r:embed="rId42"/>
                    <a:stretch>
                      <a:fillRect/>
                    </a:stretch>
                  </pic:blipFill>
                  <pic:spPr bwMode="auto">
                    <a:xfrm>
                      <a:off x="0" y="0"/>
                      <a:ext cx="5504749" cy="3975652"/>
                    </a:xfrm>
                    <a:prstGeom prst="rect">
                      <a:avLst/>
                    </a:prstGeom>
                    <a:noFill/>
                    <a:ln w="9525">
                      <a:noFill/>
                      <a:headEnd/>
                      <a:tailEnd/>
                    </a:ln>
                  </pic:spPr>
                </pic:pic>
              </a:graphicData>
            </a:graphic>
          </wp:inline>
        </w:drawing>
      </w:r>
    </w:p>
    <w:p>
      <w:pPr>
        <w:pStyle w:val="ImageCaption"/>
      </w:pPr>
      <w:r>
        <w:t xml:space="preserve">Figure 2.2: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 it is also the reason why the regeneration path needed no special-case handling, because regeneration is just another pipeline call with a</w:t>
      </w:r>
      <w:r>
        <w:t xml:space="preserve"> </w:t>
      </w:r>
      <w:r>
        <w:rPr>
          <w:rStyle w:val="VerbatimChar"/>
        </w:rPr>
        <w:t xml:space="preserve">parent_run_id</w:t>
      </w:r>
      <w:r>
        <w:t xml:space="preserve">, optional feedback, and the same persistence contract.</w:t>
      </w:r>
    </w:p>
    <w:bookmarkEnd w:id="45"/>
    <w:bookmarkStart w:id="46" w:name="tool-services-and-prompt-builders"/>
    <w:p>
      <w:pPr>
        <w:pStyle w:val="Heading3"/>
      </w:pPr>
      <w: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p>
      <w:pPr>
        <w:pStyle w:val="BodyText"/>
      </w:pPr>
      <w:r>
        <w:t xml:space="preserve">The service modules are also where mode-specific behaviour is isolated. Analytical services can return a heuristic-only response when</w:t>
      </w:r>
      <w:r>
        <w:t xml:space="preserve"> </w:t>
      </w:r>
      <w:r>
        <w:rPr>
          <w:rStyle w:val="VerbatimChar"/>
        </w:rPr>
        <w:t xml:space="preserve">SCORING_MODE=heuristic</w:t>
      </w:r>
      <w:r>
        <w:t xml:space="preserve"> </w:t>
      </w:r>
      <w:r>
        <w:t xml:space="preserve">is set in the runtime configuration (Section 4.2.9) or when the LLM path fails after exhausting the retry policy described in Section 3.1.1. Generative services do not attempt a heuristic substitute, because a deterministic cover letter or interview answer would be misleading; instead they raise a structured error that the frontend renders as a retry-able failure state.</w:t>
      </w:r>
    </w:p>
    <w:bookmarkEnd w:id="46"/>
    <w:bookmarkStart w:id="47" w:name="the-heuristic-prepass"/>
    <w:p>
      <w:pPr>
        <w:pStyle w:val="Heading3"/>
      </w:pPr>
      <w:r>
        <w:t xml:space="preserve">2.3.4 The heuristic prepass</w:t>
      </w:r>
    </w:p>
    <w:p>
      <w:pPr>
        <w:pStyle w:val="FirstParagraph"/>
      </w:pPr>
      <w: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text the LLM is instructed to use as authoritative ground truth rather than to overwrite. This has two effects: it stabilises the LLM’s score against prompt-perturbation noise, and it makes the heuristic-only fallback (and the fully-heuristic mode reported in Chapter 4) implementable without a parallel codepath, because disabling the LLM call leaves the prepass payload as the response on its own.</w:t>
      </w:r>
    </w:p>
    <w:p>
      <w:r>
        <w:br w:type="page"/>
      </w:r>
    </w:p>
    <w:bookmarkEnd w:id="47"/>
    <w:bookmarkEnd w:id="48"/>
    <w:bookmarkStart w:id="52" w:name="frontend-architecture"/>
    <w:p>
      <w:pPr>
        <w:pStyle w:val="Heading2"/>
      </w:pPr>
      <w: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49" w:name="route-structure"/>
    <w:p>
      <w:pPr>
        <w:pStyle w:val="Heading3"/>
      </w:pPr>
      <w: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this workspace page contains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 for the runtime scoring-mode toggle.</w:t>
      </w:r>
    </w:p>
    <w:bookmarkEnd w:id="49"/>
    <w:bookmarkStart w:id="50" w:name="state-management"/>
    <w:p>
      <w:pPr>
        <w:pStyle w:val="Heading3"/>
      </w:pPr>
      <w: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(the resume text being carried between tools and the most recent tool result the user is referencing)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 between unrelated tool runs.</w:t>
      </w:r>
    </w:p>
    <w:p>
      <w:pPr>
        <w:pStyle w:val="Compact"/>
        <w:numPr>
          <w:ilvl w:val="0"/>
          <w:numId w:val="1005"/>
        </w:numPr>
      </w:pPr>
      <w:r>
        <w:rPr>
          <w:b/>
          <w:bCs/>
        </w:rPr>
        <w:t xml:space="preserve">Component state</w:t>
      </w:r>
      <w:r>
        <w:t xml:space="preserve"> </w:t>
      </w:r>
      <w:r>
        <w:t xml:space="preserve">(input values, sheet open/closed flags, animation timing)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50"/>
    <w:bookmarkStart w:id="51" w:name="layout-shell-and-navigation"/>
    <w:p>
      <w:pPr>
        <w:pStyle w:val="Heading3"/>
      </w:pPr>
      <w: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51"/>
    <w:bookmarkEnd w:id="52"/>
    <w:bookmarkStart w:id="53" w:name="data-model-and-persistence"/>
    <w:p>
      <w:pPr>
        <w:pStyle w:val="Heading2"/>
      </w:pPr>
      <w:r>
        <w:t xml:space="preserve">2.5 Data model and persistence</w:t>
      </w:r>
    </w:p>
    <w:p>
      <w:pPr>
        <w:pStyle w:val="FirstParagraph"/>
      </w:pPr>
      <w:r>
        <w:t xml:space="preserve">The persistence model contains three primary tables, summarised in Table 2.3.</w:t>
      </w:r>
    </w:p>
    <w:p>
      <w:pPr>
        <w:pStyle w:val="BodyText"/>
      </w:pPr>
      <w:r>
        <w:rPr>
          <w:i/>
          <w:iCs/>
        </w:rPr>
        <w:t xml:space="preserve">Table 2.3: Primary persistence tables. The schema is intentionally narrow: every row in</w:t>
      </w:r>
      <w:r>
        <w:rPr>
          <w:i/>
          <w:iCs/>
        </w:rPr>
        <w:t xml:space="preserve"> </w:t>
      </w:r>
      <w:r>
        <w:rPr>
          <w:rStyle w:val="VerbatimChar"/>
          <w:i/>
          <w:iCs/>
        </w:rPr>
        <w:t xml:space="preserve">tool_runs</w:t>
      </w:r>
      <w:r>
        <w:rPr>
          <w:i/>
          <w:iCs/>
        </w:rPr>
        <w:t xml:space="preserve"> </w:t>
      </w:r>
      <w:r>
        <w:rPr>
          <w:i/>
          <w:iCs/>
        </w:rPr>
        <w:t xml:space="preserve">is the unit of audit and history, and the regeneration parent pointer plus the linked-context list together carry the workflow graph without requiring an additional table.</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p>
      <w:pPr>
        <w:pStyle w:val="BodyText"/>
      </w:pPr>
      <w:r>
        <w:t xml:space="preserve">The</w:t>
      </w:r>
      <w:r>
        <w:t xml:space="preserve"> </w:t>
      </w:r>
      <w:r>
        <w:rPr>
          <w:rStyle w:val="VerbatimChar"/>
        </w:rPr>
        <w:t xml:space="preserve">linked_context_ids</w:t>
      </w:r>
      <w:r>
        <w:t xml:space="preserve"> </w:t>
      </w:r>
      <w:r>
        <w:t xml:space="preserve">field supports the workflow argument of the thesis. When a user invokes a cover letter from a Job Match result, or opens Interview Q&amp;A from an analysed resume, the new result records the prior run it depended on. This produces a small graph of tool usage that the History page renders as a workflow chain rather than a flat reverse-chronological list, without requiring a separate workflow engine, queue, or state machine on the backend.</w:t>
      </w:r>
    </w:p>
    <w:bookmarkEnd w:id="53"/>
    <w:bookmarkStart w:id="54" w:name="authentication-and-security"/>
    <w:p>
      <w:pPr>
        <w:pStyle w:val="Heading2"/>
      </w:pPr>
      <w: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 so that brute-force attempts on credentials are rate-controlled independently of the tool-traffic envelope.</w:t>
      </w:r>
    </w:p>
    <w:bookmarkEnd w:id="54"/>
    <w:bookmarkStart w:id="58" w:name="deployment-topology"/>
    <w:p>
      <w:pPr>
        <w:pStyle w:val="Heading2"/>
      </w:pPr>
      <w:r>
        <w:t xml:space="preserve">2.7 Deployment topology</w:t>
      </w:r>
    </w:p>
    <w:p>
      <w:pPr>
        <w:pStyle w:val="FirstParagraph"/>
      </w:pPr>
      <w:r>
        <w:t xml:space="preserve">The production deployment runs as a single Railway project containing two application services (frontend and backend) plus a managed PostgreSQL add-on (Figure 2.3).</w:t>
      </w:r>
    </w:p>
    <w:p>
      <w:pPr>
        <w:pStyle w:val="CaptionedFigure"/>
      </w:pPr>
      <w:r>
        <w:drawing>
          <wp:inline>
            <wp:extent cx="5504749" cy="3822742"/>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56" name="Picture"/>
            <a:graphic>
              <a:graphicData uri="http://schemas.openxmlformats.org/drawingml/2006/picture">
                <pic:pic>
                  <pic:nvPicPr>
                    <pic:cNvPr descr="figures/v2/figure-2-3.png" id="57" name="Picture"/>
                    <pic:cNvPicPr>
                      <a:picLocks noChangeArrowheads="1" noChangeAspect="1"/>
                    </pic:cNvPicPr>
                  </pic:nvPicPr>
                  <pic:blipFill>
                    <a:blip r:embed="rId55"/>
                    <a:stretch>
                      <a:fillRect/>
                    </a:stretch>
                  </pic:blipFill>
                  <pic:spPr bwMode="auto">
                    <a:xfrm>
                      <a:off x="0" y="0"/>
                      <a:ext cx="5504749" cy="3822742"/>
                    </a:xfrm>
                    <a:prstGeom prst="rect">
                      <a:avLst/>
                    </a:prstGeom>
                    <a:noFill/>
                    <a:ln w="9525">
                      <a:noFill/>
                      <a:headEnd/>
                      <a:tailEnd/>
                    </a:ln>
                  </pic:spPr>
                </pic:pic>
              </a:graphicData>
            </a:graphic>
          </wp:inline>
        </w:drawing>
      </w:r>
    </w:p>
    <w:p>
      <w:pPr>
        <w:pStyle w:val="ImageCaption"/>
      </w:pPr>
      <w:r>
        <w:t xml:space="preserve">Figure 2.3: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single-origin deployment is also directly relevant to authentication. HttpOnly cookies are simpler to configure when the SPA and the API share one origin, and path-based routing avoids the browser-policy complexity that would arise from maintaining separate frontend and backend domains under different cookie scopes. For a larger product this architecture could be split later — for example, a multi-region frontend with a regional API tier — but doing so during the thesis would have added operational risk without strengthening the research result reported in Chapter 4.</w:t>
      </w:r>
    </w:p>
    <w:p>
      <w:pPr>
        <w:pStyle w:val="BodyText"/>
      </w:pPr>
      <w:r>
        <w:t xml:space="preserve">The next chapter details the implementation of each of the six tools that this architecture supports.</w:t>
      </w:r>
    </w:p>
    <w:bookmarkEnd w:id="58"/>
    <w:bookmarkEnd w:id="59"/>
    <w:bookmarkStart w:id="85" w:name="chapter-3-tool-implementations"/>
    <w:p>
      <w:pPr>
        <w:pStyle w:val="Heading1"/>
      </w:pPr>
      <w: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65" w:name="cross-cutting-design"/>
    <w:p>
      <w:pPr>
        <w:pStyle w:val="Heading2"/>
      </w:pPr>
      <w:r>
        <w:t xml:space="preserve">3.1 Cross-cutting design</w:t>
      </w:r>
    </w:p>
    <w:bookmarkStart w:id="60" w:name="the-structured-output-llm-client"/>
    <w:p>
      <w:pPr>
        <w:pStyle w:val="Heading3"/>
      </w:pPr>
      <w: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requests JSON output,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(at 5, 10, 20, and 40 seconds, plus a small random offset)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5, 10, 20, and 40 second retry schedule was selected after early testing; a shorter 2–4–8–16 schedule often retried before the upstream transient error had cleared.</w:t>
      </w:r>
    </w:p>
    <w:bookmarkEnd w:id="60"/>
    <w:bookmarkStart w:id="61" w:name="the-locked-payload-prompt-pattern"/>
    <w:p>
      <w:pPr>
        <w:pStyle w:val="Heading3"/>
      </w:pPr>
      <w: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The backend then recomputes the final score from the deterministic prepass and the returned LLM score breakdown, so the deployed response does not rely on the model to preserve arithmetic correctly.</w:t>
      </w:r>
    </w:p>
    <w:bookmarkEnd w:id="61"/>
    <w:bookmarkStart w:id="62" w:name="pydantic-validated-structured-output"/>
    <w:p>
      <w:pPr>
        <w:pStyle w:val="Heading3"/>
      </w:pPr>
      <w:r>
        <w:t xml:space="preserve">3.1.3 Pydantic-validated structured output</w:t>
      </w:r>
    </w:p>
    <w:p>
      <w:pPr>
        <w:pStyle w:val="FirstParagraph"/>
      </w:pPr>
      <w:r>
        <w:t xml:space="preserve">Every API response returned from a tool router is validated against a Pydantic response model in</w:t>
      </w:r>
      <w:r>
        <w:t xml:space="preserve"> </w:t>
      </w:r>
      <w:r>
        <w:rPr>
          <w:rStyle w:val="VerbatimChar"/>
        </w:rPr>
        <w:t xml:space="preserve">app/schemas/tools.py</w:t>
      </w:r>
      <w:r>
        <w:t xml:space="preserve">. The frontend mirrors those response contracts with Zod schemas in</w:t>
      </w:r>
      <w:r>
        <w:t xml:space="preserve"> </w:t>
      </w:r>
      <w:r>
        <w:rPr>
          <w:rStyle w:val="VerbatimChar"/>
        </w:rPr>
        <w:t xml:space="preserve">frontend/src/lib/api/schemas.ts</w:t>
      </w:r>
      <w:r>
        <w:t xml:space="preserve"> </w:t>
      </w:r>
      <w:r>
        <w:t xml:space="preserve">and validates responses before rendering. The two schema files are kept aligned by tests and code review rather than by code generation, which is adequate for the small number of response shapes in this project. Gemini itself is asked for JSON output, but the backend treats the model response as untrusted: service-level normalisation fills missing fields, drops invalid enum values, and falls back to deterministic heuristic content when the analytical LLM call fails.</w:t>
      </w:r>
    </w:p>
    <w:bookmarkEnd w:id="62"/>
    <w:bookmarkStart w:id="63" w:name="fallback-policy"/>
    <w:p>
      <w:pPr>
        <w:pStyle w:val="Heading3"/>
      </w:pPr>
      <w: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 and the runtime mode toggle of Section 4.2.9 is the smallest possible UI surface on top of that mechanism.</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63"/>
    <w:bookmarkStart w:id="64" w:name="caching"/>
    <w:p>
      <w:pPr>
        <w:pStyle w:val="Heading3"/>
      </w:pPr>
      <w: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Section 5.3 documents the Redis-backed shared cache as the planned operational upgrade.</w:t>
      </w:r>
    </w:p>
    <w:bookmarkEnd w:id="64"/>
    <w:bookmarkEnd w:id="65"/>
    <w:bookmarkStart w:id="69" w:name="resume-analyzer"/>
    <w:p>
      <w:pPr>
        <w:pStyle w:val="Heading2"/>
      </w:pPr>
      <w: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66" w:name="input-contract"/>
    <w:p>
      <w:pPr>
        <w:pStyle w:val="Heading3"/>
      </w:pPr>
      <w:r>
        <w:t xml:space="preserve">3.2.1 Input contract</w:t>
      </w:r>
    </w:p>
    <w:p>
      <w:pPr>
        <w:pStyle w:val="FirstParagraph"/>
      </w:pPr>
      <w:r>
        <w:t xml:space="preserve">The request body contains the raw resume text (free-form, minimum 50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66"/>
    <w:bookmarkStart w:id="67" w:name="heuristic-prepass"/>
    <w:p>
      <w:pPr>
        <w:pStyle w:val="Heading3"/>
      </w:pPr>
      <w: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[8, 9, 12].</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(keyword alignment, impact, structure, clarity, and completeness)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67"/>
    <w:bookmarkStart w:id="68" w:name="prompt-and-post-processing"/>
    <w:p>
      <w:pPr>
        <w:pStyle w:val="Heading3"/>
      </w:pPr>
      <w: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beyond the configured confidence-gap threshold (18 points for v2, 20 points for v1), an explicit</w:t>
      </w:r>
      <w:r>
        <w:t xml:space="preserve"> </w:t>
      </w:r>
      <w:r>
        <w:rPr>
          <w:rStyle w:val="VerbatimChar"/>
        </w:rPr>
        <w:t xml:space="preserve">confidence_note</w:t>
      </w:r>
      <w:r>
        <w:t xml:space="preserve"> </w:t>
      </w:r>
      <w:r>
        <w:t xml:space="preserve">is added to the response surface so that the user understands that two estimates disagreed.</w:t>
      </w:r>
    </w:p>
    <w:bookmarkEnd w:id="68"/>
    <w:bookmarkEnd w:id="69"/>
    <w:bookmarkStart w:id="73" w:name="job-match"/>
    <w:p>
      <w:pPr>
        <w:pStyle w:val="Heading2"/>
      </w:pPr>
      <w:r>
        <w:t xml:space="preserve">3.3 Job Match</w:t>
      </w:r>
    </w:p>
    <w:p>
      <w:pPr>
        <w:pStyle w:val="FirstParagraph"/>
      </w:pPr>
      <w:r>
        <w:t xml:space="preserve">The Job Match tool accepts a resume and a job description (provided as text or as a URL) and produces a structured match assessment.</w:t>
      </w:r>
    </w:p>
    <w:bookmarkStart w:id="70" w:name="input-contract-1"/>
    <w:p>
      <w:pPr>
        <w:pStyle w:val="Heading3"/>
      </w:pPr>
      <w: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70"/>
    <w:bookmarkStart w:id="71" w:name="heuristic-prepass-1"/>
    <w:p>
      <w:pPr>
        <w:pStyle w:val="Heading3"/>
      </w:pPr>
      <w: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71"/>
    <w:bookmarkStart w:id="72" w:name="prompt-and-post-processing-1"/>
    <w:p>
      <w:pPr>
        <w:pStyle w:val="Heading3"/>
      </w:pPr>
      <w: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computed outside the LLM response, the model cannot change the final score returned by the backend. This preserves comparability across regenerations and makes the fully-heuristic mode of Chapter 4 a substitution of the scoring path rather than a separate response contract.</w:t>
      </w:r>
    </w:p>
    <w:p>
      <w:r>
        <w:br w:type="page"/>
      </w:r>
    </w:p>
    <w:bookmarkEnd w:id="72"/>
    <w:bookmarkEnd w:id="73"/>
    <w:bookmarkStart w:id="76" w:name="career-path"/>
    <w:p>
      <w:pPr>
        <w:pStyle w:val="Heading2"/>
      </w:pPr>
      <w: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74" w:name="heuristic-prepass-2"/>
    <w:p>
      <w:pPr>
        <w:pStyle w:val="Heading3"/>
      </w:pPr>
      <w: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74"/>
    <w:bookmarkStart w:id="75" w:name="prompt-and-post-processing-2"/>
    <w:p>
      <w:pPr>
        <w:pStyle w:val="Heading3"/>
      </w:pPr>
      <w: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75"/>
    <w:bookmarkEnd w:id="76"/>
    <w:bookmarkStart w:id="78" w:name="cover-letter"/>
    <w:p>
      <w:pPr>
        <w:pStyle w:val="Heading2"/>
      </w:pPr>
      <w: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77" w:name="prompt-and-post-processing-3"/>
    <w:p>
      <w:pPr>
        <w:pStyle w:val="Heading3"/>
      </w:pPr>
      <w: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77"/>
    <w:bookmarkEnd w:id="78"/>
    <w:bookmarkStart w:id="80" w:name="interview-qa"/>
    <w:p>
      <w:pPr>
        <w:pStyle w:val="Heading2"/>
      </w:pPr>
      <w:r>
        <w:t xml:space="preserve">3.6 Interview Q&amp;A</w:t>
      </w:r>
    </w:p>
    <w:p>
      <w:pPr>
        <w:pStyle w:val="FirstParagraph"/>
      </w:pPr>
      <w:r>
        <w:t xml:space="preserve">The Interview Q&amp;A tool produces a curated list of likely interview questions for a given resume and job description. It is LLM-only.</w:t>
      </w:r>
    </w:p>
    <w:bookmarkStart w:id="79" w:name="prompt-and-post-processing-4"/>
    <w:p>
      <w:pPr>
        <w:pStyle w:val="Heading3"/>
      </w:pPr>
      <w:r>
        <w:t xml:space="preserve">3.6.1 Prompt and post-processing</w:t>
      </w:r>
    </w:p>
    <w:p>
      <w:pPr>
        <w:pStyle w:val="FirstParagraph"/>
      </w:pPr>
      <w:r>
        <w:t xml:space="preserve">The prompt asks the LLM to cluster the generated questions into three categories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Gemini and may override the default model through</w:t>
      </w:r>
      <w:r>
        <w:t xml:space="preserve"> </w:t>
      </w:r>
      <w:r>
        <w:rPr>
          <w:rStyle w:val="VerbatimChar"/>
        </w:rPr>
        <w:t xml:space="preserve">LLM_PRACTICE_MODEL</w:t>
      </w:r>
      <w:r>
        <w:t xml:space="preserve">. This is the only place in the system where a model override is wired, because practice feedback can be invoked repeatedly during a single user session.</w:t>
      </w:r>
    </w:p>
    <w:bookmarkEnd w:id="79"/>
    <w:bookmarkEnd w:id="80"/>
    <w:bookmarkStart w:id="82" w:name="portfolio-planner"/>
    <w:p>
      <w:pPr>
        <w:pStyle w:val="Heading2"/>
      </w:pPr>
      <w: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81" w:name="prompt-and-post-processing-5"/>
    <w:p>
      <w:pPr>
        <w:pStyle w:val="Heading3"/>
      </w:pPr>
      <w: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81"/>
    <w:bookmarkEnd w:id="82"/>
    <w:bookmarkStart w:id="83" w:name="X0316533d43657d9bfd77d70e918e97beaa94be2"/>
    <w:p>
      <w:pPr>
        <w:pStyle w:val="Heading2"/>
      </w:pPr>
      <w: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83"/>
    <w:bookmarkStart w:id="84" w:name="X1dc7e4c4ae344161dc6e08133b73d584d675b56"/>
    <w:p>
      <w:pPr>
        <w:pStyle w:val="Heading2"/>
      </w:pPr>
      <w: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the LLM-call retry policy (Section 3.1.1) absorbed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in Section 3.6.1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84"/>
    <w:bookmarkEnd w:id="85"/>
    <w:bookmarkStart w:id="114" w:name="chapter-4-conducted-studies-and-results"/>
    <w:p>
      <w:pPr>
        <w:pStyle w:val="Heading1"/>
      </w:pPr>
      <w:r>
        <w:t xml:space="preserve">Chapter 4 — Conducted studies and results</w:t>
      </w:r>
    </w:p>
    <w:p>
      <w:pPr>
        <w:pStyle w:val="FirstParagraph"/>
      </w:pPr>
      <w:r>
        <w:t xml:space="preserve">This chapter reports the empirical comparison between the two analytical scoring modes implemented in the system:</w:t>
      </w:r>
      <w:r>
        <w:t xml:space="preserve"> </w:t>
      </w:r>
      <w:r>
        <w:rPr>
          <w:i/>
          <w:iCs/>
        </w:rPr>
        <w:t xml:space="preserve">blended mode</w:t>
      </w:r>
      <w:r>
        <w:t xml:space="preserve"> </w:t>
      </w:r>
      <w:r>
        <w:t xml:space="preserve">(40% heuristic, 60% language-model output) and</w:t>
      </w:r>
      <w:r>
        <w:t xml:space="preserve"> </w:t>
      </w:r>
      <w:r>
        <w:rPr>
          <w:i/>
          <w:iCs/>
        </w:rPr>
        <w:t xml:space="preserve">fully heuristic mode</w:t>
      </w:r>
      <w:r>
        <w:t xml:space="preserve"> </w:t>
      </w:r>
      <w:r>
        <w:t xml:space="preserve">(classical information retrieval only). The research question, introduced in Section 1.4, is how much of the blended mode’s discriminative power is recovered by a strictly non-neural heuristic on a controlled synthetic evaluation set, and at what latency and cost ratio.</w:t>
      </w:r>
    </w:p>
    <w:bookmarkStart w:id="90" w:name="methodology"/>
    <w:p>
      <w:pPr>
        <w:pStyle w:val="Heading2"/>
      </w:pPr>
      <w:r>
        <w:t xml:space="preserve">4.1 Methodology</w:t>
      </w:r>
    </w:p>
    <w:bookmarkStart w:id="86" w:name="evaluation-dataset"/>
    <w:p>
      <w:pPr>
        <w:pStyle w:val="Heading3"/>
      </w:pPr>
      <w:r>
        <w:t xml:space="preserve">4.1.1 Evaluation dataset</w:t>
      </w:r>
    </w:p>
    <w:p>
      <w:pPr>
        <w:pStyle w:val="FirstParagraph"/>
      </w:pPr>
      <w:r>
        <w:t xml:space="preserve">The evaluation dataset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across six role tracks: backend engineering, frontend engineering, full-stack engineering, data analytics, product design, and product management. Each track contains five resumes at junior, mid, and senior levels and three or four job descriptions.</w:t>
      </w:r>
    </w:p>
    <w:p>
      <w:pPr>
        <w:pStyle w:val="BodyText"/>
      </w:pPr>
      <w:r>
        <w:t xml:space="preserve">The dataset is generated deterministically by</w:t>
      </w:r>
      <w:r>
        <w:t xml:space="preserve"> </w:t>
      </w:r>
      <w:r>
        <w:rPr>
          <w:rStyle w:val="VerbatimChar"/>
        </w:rPr>
        <w:t xml:space="preserve">scripts/synthesise_eval_dataset.py</w:t>
      </w:r>
      <w:r>
        <w:t xml:space="preserve"> </w:t>
      </w:r>
      <w:r>
        <w:t xml:space="preserve">with</w:t>
      </w:r>
      <w:r>
        <w:t xml:space="preserve"> </w:t>
      </w:r>
      <w:r>
        <w:rPr>
          <w:rStyle w:val="VerbatimChar"/>
        </w:rPr>
        <w:t xml:space="preserve">SEED = 42</w:t>
      </w:r>
      <w:r>
        <w:t xml:space="preserve">. Resume content is drawn from track-specific</w:t>
      </w:r>
      <w:r>
        <w:t xml:space="preserve"> </w:t>
      </w:r>
      <w:r>
        <w:rPr>
          <w:rStyle w:val="VerbatimChar"/>
        </w:rPr>
        <w:t xml:space="preserve">resume_phrases</w:t>
      </w:r>
      <w:r>
        <w:t xml:space="preserve"> </w:t>
      </w:r>
      <w:r>
        <w:t xml:space="preserve">and job-description content from separate</w:t>
      </w:r>
      <w:r>
        <w:t xml:space="preserve"> </w:t>
      </w:r>
      <w:r>
        <w:rPr>
          <w:rStyle w:val="VerbatimChar"/>
        </w:rPr>
        <w:t xml:space="preserve">jd_phrases</w:t>
      </w:r>
      <w:r>
        <w:t xml:space="preserve">; after stop-words and role-domain skill terms are removed, the two pools share negligible content vocabulary (per-track residual overlap of 0–6 tokens), with per-pair overlap bounded as reported in Section 4.1.4. This Stage G construction mitigates shared-vocabulary leakage (T1) while preserving legitimate skill overlap through canonical labels. Synthetic generation avoids privacy and licensing issues but limits external validity, as discussed in Section 4.4.</w:t>
      </w:r>
    </w:p>
    <w:p>
      <w:pPr>
        <w:pStyle w:val="BodyText"/>
      </w:pPr>
      <w:r>
        <w:t xml:space="preserve">The harness pairs each resume with every job description in the same role track. Four tracks contain three job descriptions and two tracks contain four, giving 5 × 3 × 4 + 5 × 4 × 2 = 100 pairs. Each pair is run once in blended mode and once in fully heuristic mode, producing 200 response objects for the metrics in Section 4.3. Appendix B documents the dataset structure.</w:t>
      </w:r>
    </w:p>
    <w:bookmarkEnd w:id="86"/>
    <w:bookmarkStart w:id="87" w:name="metrics"/>
    <w:p>
      <w:pPr>
        <w:pStyle w:val="Heading3"/>
      </w:pPr>
      <w:r>
        <w:t xml:space="preserve">4.1.2 Metrics</w:t>
      </w:r>
    </w:p>
    <w:p>
      <w:pPr>
        <w:pStyle w:val="FirstParagraph"/>
      </w:pPr>
      <w:r>
        <w:t xml:space="preserve">Four metric families are computed per pair.</w:t>
      </w:r>
    </w:p>
    <w:p>
      <w:pPr>
        <w:pStyle w:val="BodyText"/>
      </w:pPr>
      <w:r>
        <w:rPr>
          <w:b/>
          <w:bCs/>
        </w:rPr>
        <w:t xml:space="preserve">Score agreement.</w:t>
      </w:r>
      <w:r>
        <w:t xml:space="preserve"> </w:t>
      </w:r>
      <w:r>
        <w:t xml:space="preserve">Pearson</w:t>
      </w:r>
      <w:r>
        <w:t xml:space="preserve"> </w:t>
      </w:r>
      <w:r>
        <w:rPr>
          <w:i/>
          <w:iCs/>
        </w:rPr>
        <w:t xml:space="preserve">r</w:t>
      </w:r>
      <w:r>
        <w:t xml:space="preserve"> </w:t>
      </w:r>
      <w:r>
        <w:t xml:space="preserve">measures linear association between the two modes’ overall scores. Spearman ρ and Kendall τ measure rank agreement, which is more relevant when the score is used as a screening signal. The value</w:t>
      </w:r>
      <w:r>
        <w:t xml:space="preserve"> </w:t>
      </w:r>
      <w:r>
        <w:rPr>
          <w:i/>
          <w:iCs/>
        </w:rPr>
        <w:t xml:space="preserve">r</w:t>
      </w:r>
      <w:r>
        <w:t xml:space="preserve"> </w:t>
      </w:r>
      <w:r>
        <w:t xml:space="preserve">≈ 0.7 is used as a practical interpretation anchor following Cohen’s conventional benchmarks for large effects in behavioural research [26], not as a formal hypothesis or a literature-derived pass/fail threshold.</w:t>
      </w:r>
    </w:p>
    <w:p>
      <w:pPr>
        <w:pStyle w:val="BodyText"/>
      </w:pPr>
      <w:r>
        <w:rPr>
          <w:b/>
          <w:bCs/>
        </w:rPr>
        <w:t xml:space="preserve">Score distribution.</w:t>
      </w:r>
      <w:r>
        <w:t xml:space="preserve"> </w:t>
      </w:r>
      <w:r>
        <w:t xml:space="preserve">The Kolmogorov–Smirnov distance compares the overall score distributions and shows whether the heuristic shifts or compresses the score scale even when ranking is similar.</w:t>
      </w:r>
    </w:p>
    <w:p>
      <w:pPr>
        <w:pStyle w:val="BodyText"/>
      </w:pPr>
      <w:r>
        <w:rPr>
          <w:b/>
          <w:bCs/>
        </w:rPr>
        <w:t xml:space="preserve">Latency.</w:t>
      </w:r>
      <w:r>
        <w:t xml:space="preserve"> </w:t>
      </w:r>
      <w:r>
        <w:t xml:space="preserve">Wall-clock service time is measured from request entry into the tool service until a complete response is returned. Network round-trip time between browser and backend is excluded.</w:t>
      </w:r>
    </w:p>
    <w:p>
      <w:pPr>
        <w:pStyle w:val="BodyText"/>
      </w:pPr>
      <w:r>
        <w:rPr>
          <w:b/>
          <w:bCs/>
        </w:rPr>
        <w:t xml:space="preserve">Per-call cost.</w:t>
      </w:r>
      <w:r>
        <w:t xml:space="preserve"> </w:t>
      </w:r>
      <w:r>
        <w:t xml:space="preserve">Marginal LLM-side cost is estimated in US dollars. Blended mode incurs Gemini 2.5 Flash token cost; fully heuristic mode incurs no third-party inference charge.</w:t>
      </w:r>
    </w:p>
    <w:bookmarkEnd w:id="87"/>
    <w:bookmarkStart w:id="88" w:name="controls"/>
    <w:p>
      <w:pPr>
        <w:pStyle w:val="Heading3"/>
      </w:pPr>
      <w:r>
        <w:t xml:space="preserve">4.1.3 Controls</w:t>
      </w:r>
    </w:p>
    <w:p>
      <w:pPr>
        <w:pStyle w:val="FirstParagraph"/>
      </w:pPr>
      <w:r>
        <w:t xml:space="preserve">Three controls isolate the comparison.</w:t>
      </w:r>
      <w:r>
        <w:t xml:space="preserve"> </w:t>
      </w:r>
      <w:r>
        <w:rPr>
          <w:rStyle w:val="VerbatimChar"/>
        </w:rPr>
        <w:t xml:space="preserve">RESULT_CACHE_ENABLED=false</w:t>
      </w:r>
      <w:r>
        <w:t xml:space="preserve"> </w:t>
      </w:r>
      <w:r>
        <w:t xml:space="preserve">prevents cache reuse from contaminating latency, and</w:t>
      </w:r>
      <w:r>
        <w:t xml:space="preserve"> </w:t>
      </w:r>
      <w:r>
        <w:rPr>
          <w:rStyle w:val="VerbatimChar"/>
        </w:rPr>
        <w:t xml:space="preserve">scripts/eval_scoring.py</w:t>
      </w:r>
      <w:r>
        <w:t xml:space="preserve"> </w:t>
      </w:r>
      <w:r>
        <w:t xml:space="preserve">sets</w:t>
      </w:r>
      <w:r>
        <w:t xml:space="preserve"> </w:t>
      </w:r>
      <w:r>
        <w:rPr>
          <w:rStyle w:val="VerbatimChar"/>
        </w:rPr>
        <w:t xml:space="preserve">HEURISTIC_VERSION=v2</w:t>
      </w:r>
      <w:r>
        <w:t xml:space="preserve"> </w:t>
      </w:r>
      <w:r>
        <w:t xml:space="preserve">before importing the application settings so that both modes use the same strong heuristic implementation. The remaining experimental difference is whether</w:t>
      </w:r>
      <w:r>
        <w:t xml:space="preserve"> </w:t>
      </w:r>
      <w:r>
        <w:rPr>
          <w:rStyle w:val="VerbatimChar"/>
        </w:rPr>
        <w:t xml:space="preserve">complete_structured</w:t>
      </w:r>
      <w:r>
        <w:t xml:space="preserve"> </w:t>
      </w:r>
      <w:r>
        <w:t xml:space="preserve">is invoked. The LLM client uses temperature 0.3, so sampling variance is not eliminated; it is bounded only by running one fixed dataset through one configured provider and by reporting the result as an implementation characterisation rather than a population estimate.</w:t>
      </w:r>
    </w:p>
    <w:bookmarkEnd w:id="88"/>
    <w:bookmarkStart w:id="89" w:name="threats-to-validity"/>
    <w:p>
      <w:pPr>
        <w:pStyle w:val="Heading3"/>
      </w:pPr>
      <w:r>
        <w:t xml:space="preserve">4.1.4 Threats to validity</w:t>
      </w:r>
    </w:p>
    <w:p>
      <w:pPr>
        <w:pStyle w:val="FirstParagraph"/>
      </w:pPr>
      <w:r>
        <w:t xml:space="preserve">Four threats are tracked so that the interpretation of Section 4.3 remains bounded.</w:t>
      </w:r>
    </w:p>
    <w:p>
      <w:pPr>
        <w:pStyle w:val="BodyText"/>
      </w:pPr>
      <w:r>
        <w:rPr>
          <w:b/>
          <w:bCs/>
        </w:rPr>
        <w:t xml:space="preserve">T1 (Shared-vocabulary leakage between resume and job-description pools, MITIGATED).</w:t>
      </w:r>
      <w:r>
        <w:t xml:space="preserve"> </w:t>
      </w:r>
      <w:r>
        <w:t xml:space="preserve">The early synthesis script drew resume bullets and job-description responsibilities from the same per-track list. In pair</w:t>
      </w:r>
      <w:r>
        <w:t xml:space="preserve"> </w:t>
      </w:r>
      <w:r>
        <w:rPr>
          <w:rStyle w:val="VerbatimChar"/>
        </w:rPr>
        <w:t xml:space="preserve">r-backend-01__jd-backend-02</w:t>
      </w:r>
      <w:r>
        <w:t xml:space="preserve">, the sentence</w:t>
      </w:r>
      <w:r>
        <w:t xml:space="preserve"> </w:t>
      </w:r>
      <w:r>
        <w:t xml:space="preserve">“designed and shipped REST APIs serving production traffic”</w:t>
      </w:r>
      <w:r>
        <w:t xml:space="preserve"> </w:t>
      </w:r>
      <w:r>
        <w:t xml:space="preserve">appeared on both sides, and the leakage-version keyword-axis correlation was Pearson</w:t>
      </w:r>
      <w:r>
        <w:t xml:space="preserve"> </w:t>
      </w:r>
      <w:r>
        <w:rPr>
          <w:i/>
          <w:iCs/>
        </w:rPr>
        <w:t xml:space="preserve">r</w:t>
      </w:r>
      <w:r>
        <w:t xml:space="preserve"> </w:t>
      </w:r>
      <w:r>
        <w:t xml:space="preserve">= 0.941. The regenerated dataset separates</w:t>
      </w:r>
      <w:r>
        <w:t xml:space="preserve"> </w:t>
      </w:r>
      <w:r>
        <w:rPr>
          <w:rStyle w:val="VerbatimChar"/>
        </w:rPr>
        <w:t xml:space="preserve">resume_phrases</w:t>
      </w:r>
      <w:r>
        <w:t xml:space="preserve"> </w:t>
      </w:r>
      <w:r>
        <w:t xml:space="preserve">and</w:t>
      </w:r>
      <w:r>
        <w:t xml:space="preserve"> </w:t>
      </w:r>
      <w:r>
        <w:rPr>
          <w:rStyle w:val="VerbatimChar"/>
        </w:rPr>
        <w:t xml:space="preserve">jd_phrases</w:t>
      </w:r>
      <w:r>
        <w:t xml:space="preserve">;</w:t>
      </w:r>
      <w:r>
        <w:t xml:space="preserve"> </w:t>
      </w:r>
      <w:r>
        <w:rPr>
          <w:rStyle w:val="VerbatimChar"/>
        </w:rPr>
        <w:t xml:space="preserve">scripts/verify_disjoint_pools.py</w:t>
      </w:r>
      <w:r>
        <w:t xml:space="preserve"> </w:t>
      </w:r>
      <w:r>
        <w:t xml:space="preserve">reports mean per-pair content-token overlap falling from 11.82 to 0.44, a 27× reduction, with zero pairs above the &gt;3-token threshold instead of 97. The results below use the post-mitigation dataset; leakage artefacts remain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w:t>
      </w:r>
    </w:p>
    <w:p>
      <w:pPr>
        <w:pStyle w:val="BodyText"/>
      </w:pPr>
      <w:r>
        <w:rPr>
          <w:b/>
          <w:bCs/>
        </w:rPr>
        <w:t xml:space="preserve">T2 (Self-correlation between compared modes, MEASURED).</w:t>
      </w:r>
      <w:r>
        <w:t xml:space="preserve"> </w:t>
      </w:r>
      <w:r>
        <w:t xml:space="preserve">Since blended score = 0.40 × heuristic + 0.60 × LLM, the headline blended-versus-heuristic correlation includes a structural floor. Because the backend stores the blended and heuristic scores produced by this formula, the LLM-only score is recoverable without new API calls:</w:t>
      </w:r>
      <w:r>
        <w:t xml:space="preserve"> </w:t>
      </w:r>
      <w:r>
        <w:rPr>
          <w:i/>
          <w:iCs/>
        </w:rPr>
        <w:t xml:space="preserve">llm_only = (blended − 0.4 × heuristic) / 0.6</w:t>
      </w:r>
      <w:r>
        <w:t xml:space="preserve">. Section 4.3.1’ reports this baseline.</w:t>
      </w:r>
    </w:p>
    <w:p>
      <w:pPr>
        <w:pStyle w:val="BodyText"/>
      </w:pPr>
      <w:r>
        <w:rPr>
          <w:b/>
          <w:bCs/>
        </w:rPr>
        <w:t xml:space="preserve">T3 (Non-independent paired observations, ADDRESSED).</w:t>
      </w:r>
      <w:r>
        <w:t xml:space="preserve"> </w:t>
      </w:r>
      <w:r>
        <w:t xml:space="preserve">The 100 observations are not independent because each resume appears in three or four pairs and each job description in five pairs. Pearson confidence intervals are therefore computed by cluster bootstrap on</w:t>
      </w:r>
      <w:r>
        <w:t xml:space="preserve"> </w:t>
      </w:r>
      <w:r>
        <w:rPr>
          <w:rStyle w:val="VerbatimChar"/>
        </w:rPr>
        <w:t xml:space="preserve">resume_id</w:t>
      </w:r>
      <w:r>
        <w:t xml:space="preserve"> </w:t>
      </w:r>
      <w:r>
        <w:t xml:space="preserve">[28] with 2 000 resamples and</w:t>
      </w:r>
      <w:r>
        <w:t xml:space="preserve"> </w:t>
      </w:r>
      <w:r>
        <w:rPr>
          <w:rStyle w:val="VerbatimChar"/>
        </w:rPr>
        <w:t xml:space="preserve">seed=42</w:t>
      </w:r>
      <w:r>
        <w:t xml:space="preserve">.</w:t>
      </w:r>
    </w:p>
    <w:p>
      <w:pPr>
        <w:pStyle w:val="BodyText"/>
      </w:pPr>
      <w:r>
        <w:rPr>
          <w:b/>
          <w:bCs/>
        </w:rPr>
        <w:t xml:space="preserve">T4 (Post-hoc heuristic design, DISCLOSED).</w:t>
      </w:r>
      <w:r>
        <w:t xml:space="preserve"> </w:t>
      </w:r>
      <w:r>
        <w:t xml:space="preserve">The strong heuristic v2 was designed after the blended pipeline existed. The agreement in Section 4.3 therefore partly reflects design coupling. A fully closed comparison would require designing the heuristic against a held-out reference; this is outside the Bachelor-thesis scope.</w:t>
      </w:r>
    </w:p>
    <w:p>
      <w:pPr>
        <w:pStyle w:val="BodyText"/>
      </w:pPr>
      <w:r>
        <w:t xml:space="preserve">T1, T2, and T3 are mitigated by regeneration, LLM-only decomposition, and clustered intervals. T4 remains a disclosed limitation.</w:t>
      </w:r>
    </w:p>
    <w:p>
      <w:pPr>
        <w:pStyle w:val="BodyText"/>
      </w:pPr>
      <w:r>
        <w:t xml:space="preserve">In Cook–Campbell terms [27] T1 and T2 cluster under construct validity (the operationalisation of agreement between the two scoring modes), T3 falls under statistical-conclusion validity (the inferential machinery accommodating dependent paired observations), and T4 falls under internal validity (researcher degrees of freedom in the post-hoc heuristic design). External validity, the fourth canonical category, is not addressed within the experiment because the dataset is single-language (English), single-author (one synthesiser produced all 30 resumes), and single-evaluator (one Gemini family); Section 4.4 enumerates these as deployment caveats, the most consequential next step before any generalisation beyond the synthetic benchmark.</w:t>
      </w:r>
    </w:p>
    <w:p>
      <w:pPr>
        <w:pStyle w:val="BodyText"/>
      </w:pPr>
      <w:r>
        <w:t xml:space="preserve">These threats also define how the results should not be read. The chapter does not claim population-level hiring validity, fairness, or universal superiority of one scoring family. It reports a controlled within-set characterisation of the implemented system, using a reproducible benchmark whose construction is transparent enough to audit.</w:t>
      </w:r>
    </w:p>
    <w:bookmarkEnd w:id="89"/>
    <w:bookmarkEnd w:id="90"/>
    <w:bookmarkStart w:id="100" w:name="the-strong-heuristic-v2"/>
    <w:p>
      <w:pPr>
        <w:pStyle w:val="Heading2"/>
      </w:pPr>
      <w:r>
        <w:t xml:space="preserve">4.2 The strong heuristic (v2)</w:t>
      </w:r>
    </w:p>
    <w:p>
      <w:pPr>
        <w:pStyle w:val="FirstParagraph"/>
      </w:pPr>
      <w:r>
        <w:t xml:space="preserve">The lightweight prepass from Chapter 3 is sufficient for fallback behaviour but too weak as a research baseline. The strong heuristic v2 replaces binary keyword matching and unweighted averaging with classical information-retrieval components while remaining strictly non-neural.</w:t>
      </w:r>
    </w:p>
    <w:bookmarkStart w:id="91" w:name="tfidfweighted-keyword-evidence"/>
    <w:p>
      <w:pPr>
        <w:pStyle w:val="Heading3"/>
      </w:pPr>
      <w:r>
        <w:t xml:space="preserve">4.2.1 TF–IDF–weighted keyword evidence</w:t>
      </w:r>
    </w:p>
    <w:p>
      <w:pPr>
        <w:pStyle w:val="FirstParagraph"/>
      </w:pPr>
      <w:r>
        <w:t xml:space="preserve">The v2 heuristic weights keyword evidence by inverse document frequency, so rare technical terms contribute more than common words [5, 6]. Keyword alignment is computed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 and</w:t>
      </w:r>
      <w:r>
        <w:t xml:space="preserve"> </w:t>
      </w:r>
      <w:r>
        <w:rPr>
          <w:i/>
          <w:iCs/>
        </w:rPr>
        <w:t xml:space="preserve">K</w:t>
      </w:r>
      <w:r>
        <w:t xml:space="preserve">(·) extracts the keyword set.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w:t>
      </w:r>
      <w:r>
        <w:t xml:space="preserve">with</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The final keyword-axis score is</w:t>
      </w:r>
      <w:r>
        <w:t xml:space="preserve"> </w:t>
      </w:r>
      <w:r>
        <w:rPr>
          <w:rStyle w:val="VerbatimChar"/>
        </w:rPr>
        <w:t xml:space="preserve">0.7 × weighted_keyword_score + 0.3 × min(100, BM25 × 4)</w:t>
      </w:r>
      <w:r>
        <w:t xml:space="preserve">, clamped to [0, 100]. Production uses a bundled ESCO-derived baseline IDF; the evaluation harness recomputes IDF from the job descriptions in the benchmark.</w:t>
      </w:r>
    </w:p>
    <w:bookmarkEnd w:id="91"/>
    <w:bookmarkStart w:id="92" w:name="esco-aligned-skill-normalisation"/>
    <w:p>
      <w:pPr>
        <w:pStyle w:val="Heading3"/>
      </w:pPr>
      <w:r>
        <w:t xml:space="preserve">4.2.2 ESCO-aligned skill normalisation</w:t>
      </w:r>
    </w:p>
    <w:p>
      <w:pPr>
        <w:pStyle w:val="FirstParagraph"/>
      </w:pPr>
      <w:r>
        <w:t xml:space="preserve">The heuristic normalises surface variants such as</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to one canonical ESCO label [8, 9, 12]. The bundled JSON contains 107 canonical digital and creative-industry skill entries and is structured for expansion to broader production coverage. Resume and job-description text are scanned for surface variants, mapped to canonical labels, and intersected.</w:t>
      </w:r>
    </w:p>
    <w:p>
      <w:pPr>
        <w:pStyle w:val="BodyText"/>
      </w:pPr>
      <w:r>
        <w:t xml:space="preserve">This top-down design was chosen over a learned skill extractor because it keeps the fully heuristic path inspectable. Every accepted match can be traced to a surface variant in the bundled taxonomy or to the fuzzy rule described below. That property is useful when heuristic mode is presented as an auditable alternative to the LLM path.</w:t>
      </w:r>
    </w:p>
    <w:bookmarkEnd w:id="92"/>
    <w:bookmarkStart w:id="93" w:name="fuzzy-matching"/>
    <w:p>
      <w:pPr>
        <w:pStyle w:val="Heading3"/>
      </w:pPr>
      <w:r>
        <w:t xml:space="preserve">4.2.3 Fuzzy matching</w:t>
      </w:r>
    </w:p>
    <w:p>
      <w:pPr>
        <w:pStyle w:val="FirstParagraph"/>
      </w:pPr>
      <w:r>
        <w:t xml:space="preserve">For skills or keywords outside the bundled ESCO subset, v2 applies a normalised string-similarity pass related to edit-distance matching [7] using Python’s</w:t>
      </w:r>
      <w:r>
        <w:t xml:space="preserve"> </w:t>
      </w:r>
      <w:r>
        <w:rPr>
          <w:rStyle w:val="VerbatimChar"/>
        </w:rPr>
        <w:t xml:space="preserve">difflib.SequenceMatcher</w:t>
      </w:r>
      <w:r>
        <w:t xml:space="preserve">. A job-description keyword is counted when it appears exactly, maps through ESCO, or reaches similarity threshold</w:t>
      </w:r>
      <w:r>
        <w:t xml:space="preserve"> </w:t>
      </w:r>
      <w:r>
        <w:rPr>
          <w:i/>
          <w:iCs/>
        </w:rPr>
        <w:t xml:space="preserve">τ</w:t>
      </w:r>
      <w:r>
        <w:t xml:space="preserve"> </w:t>
      </w:r>
      <w:r>
        <w:t xml:space="preserve">= 0.85 against a resume candidate phrase. The threshold admits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w:t>
      </w:r>
      <w:r>
        <w:t xml:space="preserve">while rejecting unrelated tokens.</w:t>
      </w:r>
    </w:p>
    <w:bookmarkEnd w:id="93"/>
    <w:bookmarkStart w:id="94" w:name="section-weighted-features"/>
    <w:p>
      <w:pPr>
        <w:pStyle w:val="Heading3"/>
      </w:pPr>
      <w:r>
        <w:t xml:space="preserve">4.2.4 Section-weighted features</w:t>
      </w:r>
    </w:p>
    <w:p>
      <w:pPr>
        <w:pStyle w:val="FirstParagraph"/>
      </w:pPr>
      <w:r>
        <w:t xml:space="preserve">Skill evidence is weighted by resume section because a skill in</w:t>
      </w:r>
      <w:r>
        <w:t xml:space="preserve"> </w:t>
      </w:r>
      <w:r>
        <w:rPr>
          <w:i/>
          <w:iCs/>
        </w:rPr>
        <w:t xml:space="preserve">Skills</w:t>
      </w:r>
      <w:r>
        <w:t xml:space="preserve"> </w:t>
      </w:r>
      <w:r>
        <w:t xml:space="preserve">carries a different signal from the same word in</w:t>
      </w:r>
      <w:r>
        <w:t xml:space="preserve"> </w:t>
      </w:r>
      <w:r>
        <w:rPr>
          <w:i/>
          <w:iCs/>
        </w:rPr>
        <w:t xml:space="preserve">Education</w:t>
      </w:r>
      <w:r>
        <w:t xml:space="preserve"> </w:t>
      </w:r>
      <w:r>
        <w:t xml:space="preserve">or a project description [18]. Matches in</w:t>
      </w:r>
      <w:r>
        <w:t xml:space="preserve"> </w:t>
      </w:r>
      <w:r>
        <w:rPr>
          <w:i/>
          <w:iCs/>
        </w:rPr>
        <w:t xml:space="preserve">Skills</w:t>
      </w:r>
      <w:r>
        <w:t xml:space="preserve"> </w:t>
      </w:r>
      <w:r>
        <w:t xml:space="preserve">contribute 1.0,</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0.7,</w:t>
      </w:r>
      <w:r>
        <w:t xml:space="preserve"> </w:t>
      </w:r>
      <w:r>
        <w:rPr>
          <w:i/>
          <w:iCs/>
        </w:rPr>
        <w:t xml:space="preserve">Summary</w:t>
      </w:r>
      <w:r>
        <w:t xml:space="preserve"> </w:t>
      </w:r>
      <w:r>
        <w:t xml:space="preserve">0.5, and</w:t>
      </w:r>
      <w:r>
        <w:t xml:space="preserve"> </w:t>
      </w:r>
      <w:r>
        <w:rPr>
          <w:i/>
          <w:iCs/>
        </w:rPr>
        <w:t xml:space="preserve">Education</w:t>
      </w:r>
      <w:r>
        <w:t xml:space="preserve"> </w:t>
      </w:r>
      <w:r>
        <w:t xml:space="preserve">0.3. The weighted match total is normalised against the maximum possible weighted match.</w:t>
      </w:r>
    </w:p>
    <w:bookmarkEnd w:id="94"/>
    <w:bookmarkStart w:id="95" w:name="quantification-regex"/>
    <w:p>
      <w:pPr>
        <w:pStyle w:val="Heading3"/>
      </w:pPr>
      <w:r>
        <w:t xml:space="preserve">4.2.5 Quantification regex</w:t>
      </w:r>
    </w:p>
    <w:p>
      <w:pPr>
        <w:pStyle w:val="FirstParagraph"/>
      </w:pPr>
      <w:r>
        <w:t xml:space="preserve">The impact sub-score detects measurable outcomes through one composite regular expression covering bare integers, percentages, currency amounts, time periods, magnitudes such as k/M/B/×, user or customer counts, and team-size descriptors. The count of quantified bullets enters the score with logarithmic saturation.</w:t>
      </w:r>
    </w:p>
    <w:bookmarkEnd w:id="95"/>
    <w:bookmarkStart w:id="96" w:name="action-verb-scoring"/>
    <w:p>
      <w:pPr>
        <w:pStyle w:val="Heading3"/>
      </w:pPr>
      <w:r>
        <w:t xml:space="preserve">4.2.6 Action-verb scoring</w:t>
      </w:r>
    </w:p>
    <w:p>
      <w:pPr>
        <w:pStyle w:val="FirstParagraph"/>
      </w:pPr>
      <w:r>
        <w:t xml:space="preserve">The clarity sub-score counts the fraction of bullets whose leading token belongs to an author-compiled action-verb dictionary of 190 entries (assembled from publicly available career-services word lists; the working list is archived in the project repository alongside the heuristic implementation). Action verbs such as</w:t>
      </w:r>
      <w:r>
        <w:t xml:space="preserve"> </w:t>
      </w:r>
      <w:r>
        <w:t xml:space="preserve">“led”</w:t>
      </w:r>
      <w:r>
        <w:t xml:space="preserve">,</w:t>
      </w:r>
      <w:r>
        <w:t xml:space="preserve"> </w:t>
      </w:r>
      <w:r>
        <w:t xml:space="preserve">“shipped”</w:t>
      </w:r>
      <w:r>
        <w:t xml:space="preserve">, and</w:t>
      </w:r>
      <w:r>
        <w:t xml:space="preserve"> </w:t>
      </w:r>
      <w:r>
        <w:t xml:space="preserve">“automated”</w:t>
      </w:r>
      <w:r>
        <w:t xml:space="preserve"> </w:t>
      </w:r>
      <w:r>
        <w:t xml:space="preserve">are treated as stronger ownership evidence than passive or filler openings.</w:t>
      </w:r>
    </w:p>
    <w:bookmarkEnd w:id="96"/>
    <w:bookmarkStart w:id="97" w:name="score-combination"/>
    <w:p>
      <w:pPr>
        <w:pStyle w:val="Heading3"/>
      </w:pPr>
      <w:r>
        <w:t xml:space="preserve">4.2.7 Score combination</w:t>
      </w:r>
    </w:p>
    <w:p>
      <w:pPr>
        <w:pStyle w:val="FirstParagraph"/>
      </w:pPr>
      <w:r>
        <w:t xml:space="preserve">The five sub-scores (keyword alignment, impact, structure, clarity, completeness) are combined as a weighted mean: 0.30, 0.25, 0.15, 0.15, and 0.15. These weights are author-selected rather than survey-derived. The blended-mode 0.40/0.60 split is also an engineering choice rather than an optimised parameter: it keeps the default mode language-model-led while retaining a deterministic scoring floor. Section 4.3.5 reports an equal-weight sensitivity check for the heuristic sub-score weights.</w:t>
      </w:r>
    </w:p>
    <w:bookmarkEnd w:id="97"/>
    <w:bookmarkStart w:id="98" w:name="implementation-notes"/>
    <w:p>
      <w:pPr>
        <w:pStyle w:val="Heading3"/>
      </w:pPr>
      <w:r>
        <w:t xml:space="preserve">4.2.8 Implementation notes</w:t>
      </w:r>
    </w:p>
    <w:p>
      <w:pPr>
        <w:pStyle w:val="FirstParagraph"/>
      </w:pPr>
      <w:r>
        <w:t xml:space="preserve">The strong heuristic v2 lives in</w:t>
      </w:r>
      <w:r>
        <w:t xml:space="preserve"> </w:t>
      </w:r>
      <w:r>
        <w:rPr>
          <w:rStyle w:val="VerbatimChar"/>
        </w:rPr>
        <w:t xml:space="preserve">app/services/quality_signals_v2.py</w:t>
      </w:r>
      <w:r>
        <w:t xml:space="preserve"> </w:t>
      </w:r>
      <w:r>
        <w:t xml:space="preserve">alongside the lightweight</w:t>
      </w:r>
      <w:r>
        <w:t xml:space="preserve"> </w:t>
      </w:r>
      <w:r>
        <w:rPr>
          <w:rStyle w:val="VerbatimChar"/>
        </w:rPr>
        <w:t xml:space="preserve">quality_signals.py</w:t>
      </w:r>
      <w:r>
        <w:t xml:space="preserve">.</w:t>
      </w:r>
      <w:r>
        <w:t xml:space="preserve"> </w:t>
      </w:r>
      <w:r>
        <w:rPr>
          <w:rStyle w:val="VerbatimChar"/>
        </w:rPr>
        <w:t xml:space="preserve">HEURISTIC_VERSION=v2</w:t>
      </w:r>
      <w:r>
        <w:t xml:space="preserve"> </w:t>
      </w:r>
      <w:r>
        <w:t xml:space="preserve">selects the strong implementation for the analytical tools and is the default for the experimental run reported here.</w:t>
      </w:r>
    </w:p>
    <w:bookmarkEnd w:id="98"/>
    <w:bookmarkStart w:id="99" w:name="the-administrative-toggle"/>
    <w:p>
      <w:pPr>
        <w:pStyle w:val="Heading3"/>
      </w:pPr>
      <w:r>
        <w:t xml:space="preserve">4.2.9 The administrative toggle</w:t>
      </w:r>
    </w:p>
    <w:p>
      <w:pPr>
        <w:pStyle w:val="FirstParagraph"/>
      </w:pPr>
      <w:r>
        <w:t xml:space="preserve">Runtime switchability is provided by</w:t>
      </w:r>
      <w:r>
        <w:t xml:space="preserve"> </w:t>
      </w:r>
      <w:r>
        <w:rPr>
          <w:rStyle w:val="VerbatimChar"/>
        </w:rPr>
        <w:t xml:space="preserve">SCORING_MODE</w:t>
      </w:r>
      <w:r>
        <w:t xml:space="preserve">, which accepts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An in-memory override in</w:t>
      </w:r>
      <w:r>
        <w:t xml:space="preserve"> </w:t>
      </w:r>
      <w:r>
        <w:rPr>
          <w:rStyle w:val="VerbatimChar"/>
        </w:rPr>
        <w:t xml:space="preserve">app/services/runtime_settings.py</w:t>
      </w:r>
      <w:r>
        <w:t xml:space="preserve"> </w:t>
      </w:r>
      <w:r>
        <w:t xml:space="preserve">is updated through</w:t>
      </w:r>
      <w:r>
        <w:t xml:space="preserve"> </w:t>
      </w:r>
      <w:r>
        <w:rPr>
          <w:rStyle w:val="VerbatimChar"/>
        </w:rPr>
        <w:t xml:space="preserve">POST /api/v1/admin/scoring-mode</w:t>
      </w:r>
      <w:r>
        <w:t xml:space="preserve"> </w:t>
      </w:r>
      <w:r>
        <w:t xml:space="preserve">and read by analytical services on every request. The override supports live demonstration during the diploma defence but resets on process restart, leaving the environment variable as the configuration of record.</w:t>
      </w:r>
    </w:p>
    <w:p>
      <w:r>
        <w:br w:type="page"/>
      </w:r>
    </w:p>
    <w:bookmarkEnd w:id="99"/>
    <w:bookmarkEnd w:id="100"/>
    <w:bookmarkStart w:id="112" w:name="results"/>
    <w:p>
      <w:pPr>
        <w:pStyle w:val="Heading2"/>
      </w:pPr>
      <w: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Both modes succeeded on every pair, and</w:t>
      </w:r>
      <w:r>
        <w:t xml:space="preserve"> </w:t>
      </w:r>
      <w:r>
        <w:rPr>
          <w:rStyle w:val="VerbatimChar"/>
        </w:rPr>
        <w:t xml:space="preserve">scripts/analyze_eval_results.py</w:t>
      </w:r>
      <w:r>
        <w:t xml:space="preserve"> </w:t>
      </w:r>
      <w:r>
        <w:t xml:space="preserve">generated the tables below from</w:t>
      </w:r>
      <w:r>
        <w:t xml:space="preserve"> </w:t>
      </w:r>
      <w:r>
        <w:rPr>
          <w:rStyle w:val="VerbatimChar"/>
        </w:rPr>
        <w:t xml:space="preserve">thesis/eval-results.json</w:t>
      </w:r>
      <w:r>
        <w:t xml:space="preserve">.</w:t>
      </w:r>
    </w:p>
    <w:bookmarkStart w:id="101" w:name="score-agreement"/>
    <w:p>
      <w:pPr>
        <w:pStyle w:val="Heading3"/>
      </w:pPr>
      <w: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τ-b. Table 4.1 reports the post-mitigation values computed on the disjoint-vocabulary dataset described in Section 4.1.1 alongside the pre-mitigation values from the archived leakage-version run, for an explicit before/after comparison.</w:t>
      </w:r>
    </w:p>
    <w:p>
      <w:pPr>
        <w:pStyle w:val="BodyText"/>
      </w:pPr>
      <w:r>
        <w:rPr>
          <w:i/>
          <w:iCs/>
        </w:rPr>
        <w:t xml:space="preserve">Table 4.1: Overall agreement between blended and fully heuristic modes (n = 100 pairs). Pearson confidence intervals are computed by cluster bootstrap on</w:t>
      </w:r>
      <w:r>
        <w:rPr>
          <w:i/>
          <w:iCs/>
        </w:rPr>
        <w:t xml:space="preserve"> </w:t>
      </w:r>
      <w:r>
        <w:rPr>
          <w:rStyle w:val="VerbatimChar"/>
          <w:i/>
          <w:iCs/>
        </w:rPr>
        <w:t xml:space="preserve">resume_id</w:t>
      </w:r>
      <w:r>
        <w:rPr>
          <w:i/>
          <w:iCs/>
        </w:rPr>
        <w:t xml:space="preserve"> </w:t>
      </w:r>
      <w:r>
        <w:rPr>
          <w:i/>
          <w:iCs/>
        </w:rPr>
        <w:t xml:space="preserve">with 2 000 resamples and seed = 42, addressing threat T3 of Section 4.1.4.</w:t>
      </w:r>
    </w:p>
    <w:tbl>
      <w:tblPr>
        <w:tblStyle w:val="Table"/>
        <w:tblW w:type="pct" w:w="5000"/>
        <w:tblLayout w:type="fixed"/>
        <w:tblLook w:firstRow="1" w:lastRow="0" w:firstColumn="0" w:lastColumn="0" w:noHBand="0" w:noVBand="0" w:val="0020"/>
      </w:tblPr>
      <w:tblGrid>
        <w:gridCol w:w="978"/>
        <w:gridCol w:w="2491"/>
        <w:gridCol w:w="3025"/>
        <w:gridCol w:w="1423"/>
      </w:tblGrid>
      <w:tr>
        <w:trPr>
          <w:tblHeader w:val="on"/>
        </w:trPr>
        <w:tc>
          <w:tcPr/>
          <w:p>
            <w:pPr>
              <w:pStyle w:val="Compact"/>
            </w:pPr>
            <w:r>
              <w:t xml:space="preserve">Statistic</w:t>
            </w:r>
          </w:p>
        </w:tc>
        <w:tc>
          <w:tcPr/>
          <w:p>
            <w:pPr>
              <w:pStyle w:val="Compact"/>
            </w:pPr>
            <w:r>
              <w:t xml:space="preserve">Post-mitigation (disjoint)</w:t>
            </w:r>
          </w:p>
        </w:tc>
        <w:tc>
          <w:tcPr/>
          <w:p>
            <w:pPr>
              <w:pStyle w:val="Compact"/>
            </w:pPr>
            <w:r>
              <w:t xml:space="preserve">Pre-mitigation (leakage version)</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τ-b</w:t>
            </w:r>
          </w:p>
        </w:tc>
        <w:tc>
          <w:tcPr/>
          <w:p>
            <w:pPr>
              <w:pStyle w:val="Compact"/>
            </w:pPr>
            <w:r>
              <w:rPr>
                <w:b/>
                <w:bCs/>
              </w:rPr>
              <w:t xml:space="preserve">0.669</w:t>
            </w:r>
          </w:p>
        </w:tc>
        <w:tc>
          <w:tcPr/>
          <w:p>
            <w:pPr>
              <w:pStyle w:val="Compact"/>
            </w:pPr>
            <w:r>
              <w:t xml:space="preserve">0.526</w:t>
            </w:r>
          </w:p>
        </w:tc>
        <w:tc>
          <w:tcPr/>
          <w:p>
            <w:pPr>
              <w:pStyle w:val="Compact"/>
            </w:pPr>
            <w:r>
              <w:t xml:space="preserve">Concordance-based rank agreement.</w:t>
            </w:r>
          </w:p>
        </w:tc>
      </w:tr>
    </w:tbl>
    <w:p>
      <w:pPr>
        <w:pStyle w:val="BodyText"/>
      </w:pPr>
      <w:r>
        <w:t xml:space="preserve">The post-mitigation Pearson</w:t>
      </w:r>
      <w:r>
        <w:t xml:space="preserve"> </w:t>
      </w:r>
      <w:r>
        <w:rPr>
          <w:i/>
          <w:iCs/>
        </w:rPr>
        <w:t xml:space="preserve">r</w:t>
      </w:r>
      <w:r>
        <w:t xml:space="preserve"> </w:t>
      </w:r>
      <w:r>
        <w:t xml:space="preserve">is higher than the leakage-version value even though leakage was expected to inflate keyword overlap. The per-sub-score breakdown in Table 4.2 explains the result: lexical leakage added noise to some non-keyword axes, while the disjoint construction preserved legitimate canonical skill overlap.</w:t>
      </w:r>
    </w:p>
    <w:p>
      <w:pPr>
        <w:pStyle w:val="BodyText"/>
      </w:pPr>
      <w:r>
        <w:rPr>
          <w:i/>
          <w:iCs/>
        </w:rPr>
        <w:t xml:space="preserve">Table 4.2: Per-sub-score correlations between blended and heuristic-only modes, post-mitigation versus archived leakage version. Bold entries mark axes above the 0.7 practical interpretation anchor introduced in Section 4.1.2.</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τ-b</w:t>
            </w:r>
          </w:p>
        </w:tc>
      </w:tr>
      <w:tr>
        <w:tc>
          <w:tcPr/>
          <w:p>
            <w:pPr>
              <w:pStyle w:val="Compact"/>
            </w:pPr>
            <w:r>
              <w:t xml:space="preserve">Keywords</w:t>
            </w:r>
          </w:p>
        </w:tc>
        <w:tc>
          <w:tcPr/>
          <w:p>
            <w:pPr>
              <w:pStyle w:val="Compact"/>
            </w:pPr>
            <w:r>
              <w:rPr>
                <w:b/>
                <w:bCs/>
              </w:rP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rPr>
                <w:b/>
                <w:bCs/>
              </w:rP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rPr>
                <w:b/>
                <w:bCs/>
              </w:rP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 agreement is strongest on keywords and structure and weakest on clarity, the axis where the language model sees prose-quality evidence that the heuristic cannot inspect. A correlation-space sanity check is consistent with the blended formula. Under equal-variance assumptions on the heuristic and LLM-only sub-scores, the algebra of</w:t>
      </w:r>
      <w:r>
        <w:t xml:space="preserve"> </w:t>
      </w:r>
      <w:r>
        <w:rPr>
          <w:rStyle w:val="VerbatimChar"/>
        </w:rPr>
        <w:t xml:space="preserve">blended = 0.4 × heuristic + 0.6 × LLM</w:t>
      </w:r>
      <w:r>
        <w:t xml:space="preserve"> </w:t>
      </w:r>
      <w:r>
        <w:t xml:space="preserve">predicts r(blended, heuristic) ≈ 0.857 from the observed r(LLM-only, heuristic) = 0.627; the observed value 0.836 sits within the cluster-bootstrap half-width of this prediction, indicating that the headline blended-versus-heuristic agreement is a transparent function of the two upstream agreements rather than an artefact of leakage or evaluator drift.</w:t>
      </w:r>
    </w:p>
    <w:p>
      <w:pPr>
        <w:pStyle w:val="BodyText"/>
      </w:pPr>
      <w:r>
        <w:t xml:space="preserve">The keyword axis being stable across leakage and disjoint versions is important. It shows that the post-mitigation result is not simply an artefact of repeated responsibility sentences; both modes still respond to legitimate skill labels such as Python, React, BM25, and PostgreSQL. By contrast, the clarity axis remains low because a deterministic rule set cannot assess ownership and role-fit prose with the same nuance as the language model.</w:t>
      </w:r>
    </w:p>
    <w:bookmarkEnd w:id="101"/>
    <w:bookmarkStart w:id="102" w:name="llm-only-baseline-t2-mitigation"/>
    <w:p>
      <w:pPr>
        <w:pStyle w:val="Heading3"/>
      </w:pPr>
      <w: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(what the language model and the classical-IR heuristic agree on) controlling for the structural component shared between the blended and heuristic-only modes by construction. Table 4.3 reports the three pairwise correlations with cluster-bootstrap confidence intervals.</w:t>
      </w:r>
    </w:p>
    <w:p>
      <w:pPr>
        <w:pStyle w:val="BodyText"/>
      </w:pPr>
      <w:r>
        <w:rPr>
          <w:i/>
          <w:iCs/>
        </w:rPr>
        <w:t xml:space="preserve">Table 4.3: Pairwise score correlations after LLM-only decomposition. Cluster bootstrap on resume identity, 2 000 resamples, seed = 42. The LLM-only column is recovered post-hoc from the locked-payload identity rather than from a second LLM rerun.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w:t>
            </w:r>
          </w:p>
        </w:tc>
      </w:tr>
    </w:tbl>
    <w:p>
      <w:pPr>
        <w:pStyle w:val="BodyText"/>
      </w:pPr>
      <w:r>
        <w:t xml:space="preserve">The recovered LLM-only score has mean 71.29, standard deviation 8.45, median 73.33, 5th percentile 54.62, and 95th percentile 82.00. The 0.627 correlation is the honest cross-mode agreement after removing the 0.40 heuristic share embedded in the blended score; the 0.836 headline remains relevant for the operational question of what the runtime toggle changes.</w:t>
      </w:r>
    </w:p>
    <w:p>
      <w:pPr>
        <w:pStyle w:val="BodyText"/>
      </w:pPr>
      <w:r>
        <w:t xml:space="preserve">The two numbers answer different questions. The LLM-only value asks how far classical IR agrees with the language model when the shared heuristic component is removed. The blended-versus-heuristic value asks what an operator loses when switching the deployed system from default blended mode to fully heuristic runtime mode.</w:t>
      </w:r>
    </w:p>
    <w:bookmarkEnd w:id="102"/>
    <w:bookmarkStart w:id="106" w:name="score-distribution"/>
    <w:p>
      <w:pPr>
        <w:pStyle w:val="Heading3"/>
      </w:pPr>
      <w:r>
        <w:t xml:space="preserve">4.3.2 Score distribution</w:t>
      </w:r>
    </w:p>
    <w:p>
      <w:pPr>
        <w:pStyle w:val="FirstParagraph"/>
      </w:pPr>
      <w:r>
        <w:t xml:space="preserve">Table 4.4 reports the per-mode score distribution statistics across all 100 pairs. The Kolmogorov–Smirnov distance between the two distributions complements the rank-correlation reading by reporting how differently the two modes spread the scores across the 0–100 range.</w:t>
      </w:r>
    </w:p>
    <w:p>
      <w:pPr>
        <w:pStyle w:val="BodyText"/>
      </w:pPr>
      <w:r>
        <w:rPr>
          <w:i/>
          <w:iCs/>
        </w:rPr>
        <w:t xml:space="preserve">Table 4.4: Overall score distribution per mode (n = 100 pairs). The KS distance compares the empirical cumulative distribution functions of the two modes; smaller values indicate more similar distributions.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Standard deviation</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 vs other mode</w:t>
            </w:r>
          </w:p>
        </w:tc>
        <w:tc>
          <w:tcPr/>
          <w:p>
            <w:pPr>
              <w:pStyle w:val="Compact"/>
            </w:pPr>
            <w:r>
              <w:t xml:space="preserve">0.100</w:t>
            </w:r>
          </w:p>
        </w:tc>
        <w:tc>
          <w:tcPr/>
          <w:p>
            <w:pPr>
              <w:pStyle w:val="Compact"/>
            </w:pPr>
            <w:r>
              <w:t xml:space="preserve">0.100</w:t>
            </w:r>
          </w:p>
        </w:tc>
      </w:tr>
    </w:tbl>
    <w:p>
      <w:pPr>
        <w:pStyle w:val="BodyText"/>
      </w:pPr>
      <w:r>
        <w:t xml:space="preserve">The means differ by 0.82 points and the medians by 1.50 points, so the aggregate score distributions are close. The KS distance of 0.100 is half the leakage-version KS distance of 0.200, indicating that the disjoint-pool regeneration also tightens the per-mode distribution overlap, not only the rank agreement. Figure 4.1 visualises the two distributions.</w:t>
      </w:r>
    </w:p>
    <w:p>
      <w:pPr>
        <w:pStyle w:val="BodyText"/>
      </w:pPr>
      <w:r>
        <w:drawing>
          <wp:inline>
            <wp:extent cx="5727700" cy="4051154"/>
            <wp:effectExtent b="0" l="0" r="0" t="0"/>
            <wp:docPr descr="" title="" id="104" name="Picture"/>
            <a:graphic>
              <a:graphicData uri="http://schemas.openxmlformats.org/drawingml/2006/picture">
                <pic:pic>
                  <pic:nvPicPr>
                    <pic:cNvPr descr="figures/figure-4-1-score-distribution.png" id="105" name="Picture"/>
                    <pic:cNvPicPr>
                      <a:picLocks noChangeArrowheads="1" noChangeAspect="1"/>
                    </pic:cNvPicPr>
                  </pic:nvPicPr>
                  <pic:blipFill>
                    <a:blip r:embed="rId103"/>
                    <a:stretch>
                      <a:fillRect/>
                    </a:stretch>
                  </pic:blipFill>
                  <pic:spPr bwMode="auto">
                    <a:xfrm>
                      <a:off x="0" y="0"/>
                      <a:ext cx="5727700" cy="4051154"/>
                    </a:xfrm>
                    <a:prstGeom prst="rect">
                      <a:avLst/>
                    </a:prstGeom>
                    <a:noFill/>
                    <a:ln w="9525">
                      <a:noFill/>
                      <a:headEnd/>
                      <a:tailEnd/>
                    </a:ln>
                  </pic:spPr>
                </pic:pic>
              </a:graphicData>
            </a:graphic>
          </wp:inline>
        </w:drawing>
      </w:r>
    </w:p>
    <w:p>
      <w:pPr>
        <w:pStyle w:val="BodyText"/>
      </w:pPr>
      <w:r>
        <w:rPr>
          <w:i/>
          <w:iCs/>
        </w:rPr>
        <w:t xml:space="preserve">Figure 4.1: Distribution of overall scores across 100 synthetic (resume, JD) pairs. Top: heuristic-only mode (mean 72.66, median 74.5). Bottom: blended mode (mean 71.84, median 73.0). The dashed vertical line marks the mean and the dotted vertical line marks the median in each panel.</w:t>
      </w:r>
    </w:p>
    <w:p>
      <w:r>
        <w:br w:type="page"/>
      </w:r>
    </w:p>
    <w:bookmarkEnd w:id="106"/>
    <w:bookmarkStart w:id="107" w:name="latency"/>
    <w:p>
      <w:pPr>
        <w:pStyle w:val="Heading3"/>
      </w:pPr>
      <w:r>
        <w:t xml:space="preserve">4.3.3 Latency</w:t>
      </w:r>
    </w:p>
    <w:p>
      <w:pPr>
        <w:pStyle w:val="FirstParagraph"/>
      </w:pPr>
      <w:r>
        <w:t xml:space="preserve">Wall-clock service-side latency for a single tool invocation is summarised in Table 4.5. The blended-mode figure is dominated by the upstream Gemini structured-output inference call; the heuristic-only mode runs entirely as local string processing.</w:t>
      </w:r>
    </w:p>
    <w:p>
      <w:pPr>
        <w:pStyle w:val="BodyText"/>
      </w:pPr>
      <w:r>
        <w:rPr>
          <w:i/>
          <w:iCs/>
        </w:rPr>
        <w:t xml:space="preserve">Table 4.5: Service-side latency for a single tool invocation, in milliseconds, with the per-row blended-to-heuristic ratio. The maximum-observed row reflects one transient LLM retry absorbed by the four-retry exponential-backoff policy described in Section 3.1.1.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Blended (ms)</w:t>
            </w:r>
          </w:p>
        </w:tc>
        <w:tc>
          <w:tcPr/>
          <w:p>
            <w:pPr>
              <w:pStyle w:val="Compact"/>
            </w:pPr>
            <w:r>
              <w:t xml:space="preserve">Heuristic v2 (ms)</w:t>
            </w:r>
          </w:p>
        </w:tc>
        <w:tc>
          <w:tcPr/>
          <w:p>
            <w:pPr>
              <w:pStyle w:val="Compact"/>
            </w:pPr>
            <w:r>
              <w:t xml:space="preserve">Ratio</w:t>
            </w:r>
          </w:p>
        </w:tc>
      </w:tr>
      <w:tr>
        <w:tc>
          <w:tcPr/>
          <w:p>
            <w:pPr>
              <w:pStyle w:val="Compact"/>
            </w:pPr>
            <w:r>
              <w:t xml:space="preserve">Median</w:t>
            </w:r>
          </w:p>
        </w:tc>
        <w:tc>
          <w:tcPr/>
          <w:p>
            <w:pPr>
              <w:pStyle w:val="Compact"/>
            </w:pPr>
            <w:r>
              <w:t xml:space="preserve">18 232.1</w:t>
            </w:r>
          </w:p>
        </w:tc>
        <w:tc>
          <w:tcPr/>
          <w:p>
            <w:pPr>
              <w:pStyle w:val="Compact"/>
            </w:pPr>
            <w:r>
              <w:t xml:space="preserve">25.5</w:t>
            </w:r>
          </w:p>
        </w:tc>
        <w:tc>
          <w:tcPr/>
          <w:p>
            <w:pPr>
              <w:pStyle w:val="Compact"/>
            </w:pPr>
            <w:r>
              <w:t xml:space="preserve">714×</w:t>
            </w:r>
          </w:p>
        </w:tc>
      </w:tr>
      <w:tr>
        <w:tc>
          <w:tcPr/>
          <w:p>
            <w:pPr>
              <w:pStyle w:val="Compact"/>
            </w:pPr>
            <w:r>
              <w:t xml:space="preserve">95th percentile</w:t>
            </w:r>
          </w:p>
        </w:tc>
        <w:tc>
          <w:tcPr/>
          <w:p>
            <w:pPr>
              <w:pStyle w:val="Compact"/>
            </w:pPr>
            <w:r>
              <w:t xml:space="preserve">24 713.7</w:t>
            </w:r>
          </w:p>
        </w:tc>
        <w:tc>
          <w:tcPr/>
          <w:p>
            <w:pPr>
              <w:pStyle w:val="Compact"/>
            </w:pPr>
            <w:r>
              <w:t xml:space="preserve">32.1</w:t>
            </w:r>
          </w:p>
        </w:tc>
        <w:tc>
          <w:tcPr/>
          <w:p>
            <w:pPr>
              <w:pStyle w:val="Compact"/>
            </w:pPr>
            <w:r>
              <w:t xml:space="preserve">770×</w:t>
            </w:r>
          </w:p>
        </w:tc>
      </w:tr>
      <w:tr>
        <w:tc>
          <w:tcPr/>
          <w:p>
            <w:pPr>
              <w:pStyle w:val="Compact"/>
            </w:pPr>
            <w:r>
              <w:t xml:space="preserve">Maximum observed</w:t>
            </w:r>
          </w:p>
        </w:tc>
        <w:tc>
          <w:tcPr/>
          <w:p>
            <w:pPr>
              <w:pStyle w:val="Compact"/>
            </w:pPr>
            <w:r>
              <w:t xml:space="preserve">65 926.6</w:t>
            </w:r>
          </w:p>
        </w:tc>
        <w:tc>
          <w:tcPr/>
          <w:p>
            <w:pPr>
              <w:pStyle w:val="Compact"/>
            </w:pPr>
            <w:r>
              <w:t xml:space="preserve">34.1</w:t>
            </w:r>
          </w:p>
        </w:tc>
        <w:tc>
          <w:tcPr/>
          <w:p>
            <w:pPr>
              <w:pStyle w:val="Compact"/>
            </w:pPr>
            <w:r>
              <w:t xml:space="preserve">1 933×</w:t>
            </w:r>
          </w:p>
        </w:tc>
      </w:tr>
    </w:tbl>
    <w:p>
      <w:pPr>
        <w:pStyle w:val="BodyText"/>
      </w:pPr>
      <w:r>
        <w:t xml:space="preserve">Blended latency is dominated by Gemini structured-output inference over approximately 608 input tokens plus prompt overhead and 1 118 output tokens. The maximum of 65 926.6 ms reflects one transient LLM retry handled by the retry policy. Heuristic v2 runs in tens of milliseconds and satisfies the N1a target from Section 2.1.2. Component-level decomposition between token generation, network round-trip, and serialisation overhead was not instrumented in the prototype; future work could profile this granularity (for instance via OpenTelemetry spans on the Vertex AI client or middleware timing decorators) to localise optimisation targets. The two-to-three-orders-of-magnitude latency gap is the operational rationale for keeping both modes runtime-switchable rather than committing to one path.</w:t>
      </w:r>
    </w:p>
    <w:bookmarkEnd w:id="107"/>
    <w:bookmarkStart w:id="108" w:name="per-call-cost"/>
    <w:p>
      <w:pPr>
        <w:pStyle w:val="Heading3"/>
      </w:pPr>
      <w:r>
        <w:t xml:space="preserve">4.3.4 Per-call cost</w:t>
      </w:r>
    </w:p>
    <w:p>
      <w:pPr>
        <w:pStyle w:val="FirstParagraph"/>
      </w:pPr>
      <w:r>
        <w:t xml:space="preserve">Cost uses the Vertex AI Gemini 2.5 Flash rates in effect at measurement time: input $0.075 / 1 M tokens and output $0.30 / 1 M tokens. The blended run used an estimated 608 input tokens and 1 118 output tokens per call on average; Table 4.6 summarises the resulting per-call and projected monthly cost figures.</w:t>
      </w:r>
    </w:p>
    <w:p>
      <w:pPr>
        <w:pStyle w:val="BodyText"/>
      </w:pPr>
      <w:r>
        <w:rPr>
          <w:i/>
          <w:iCs/>
        </w:rPr>
        <w:t xml:space="preserve">Table 4.6: Per-call LLM-side cost, in US dollars, at the Vertex AI Gemini 2.5 Flash rates in effect at measurement time. The estimator follows the ~4-characters-per-token rule of thumb and does not include all server-side prompt overhead, so the figures are order-of-magnitude rather than billing-grade.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Average per-call cost</w:t>
            </w:r>
          </w:p>
        </w:tc>
        <w:tc>
          <w:tcPr/>
          <w:p>
            <w:pPr>
              <w:pStyle w:val="Compact"/>
            </w:pPr>
            <w:r>
              <w:t xml:space="preserve">$0.00038</w:t>
            </w:r>
          </w:p>
        </w:tc>
        <w:tc>
          <w:tcPr/>
          <w:p>
            <w:pPr>
              <w:pStyle w:val="Compact"/>
            </w:pPr>
            <w:r>
              <w:t xml:space="preserve">$0.00000</w:t>
            </w:r>
          </w:p>
        </w:tc>
      </w:tr>
      <w:tr>
        <w:tc>
          <w:tcPr/>
          <w:p>
            <w:pPr>
              <w:pStyle w:val="Compact"/>
            </w:pPr>
            <w:r>
              <w:t xml:space="preserve">95th-percentile per-call cost</w:t>
            </w:r>
          </w:p>
        </w:tc>
        <w:tc>
          <w:tcPr/>
          <w:p>
            <w:pPr>
              <w:pStyle w:val="Compact"/>
            </w:pPr>
            <w:r>
              <w:t xml:space="preserve">$0.00042</w:t>
            </w:r>
          </w:p>
        </w:tc>
        <w:tc>
          <w:tcPr/>
          <w:p>
            <w:pPr>
              <w:pStyle w:val="Compact"/>
            </w:pPr>
            <w:r>
              <w:t xml:space="preserve">$0.00000</w:t>
            </w:r>
          </w:p>
        </w:tc>
      </w:tr>
      <w:tr>
        <w:tc>
          <w:tcPr/>
          <w:p>
            <w:pPr>
              <w:pStyle w:val="Compact"/>
            </w:pPr>
            <w:r>
              <w:t xml:space="preserve">Projected monthly cost at 1 000 analyses/day</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This absolute cost is small at thesis scale, but the ratio matters for mode design. A demonstration, outage fallback, or high-volume preview flow can use the heuristic path without accumulating third-party inference cost. The blended path can then be reserved for cases where richer explanations are worth the additional latency.</w:t>
      </w:r>
    </w:p>
    <w:bookmarkEnd w:id="108"/>
    <w:bookmarkStart w:id="109" w:name="Xc5b9496d48d597ec2064019f244ae133cf5ccd1"/>
    <w:p>
      <w:pPr>
        <w:pStyle w:val="Heading3"/>
      </w:pPr>
      <w: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 Table 4.7 reports the result.</w:t>
      </w:r>
    </w:p>
    <w:p>
      <w:pPr>
        <w:pStyle w:val="BodyText"/>
      </w:pPr>
      <w:r>
        <w:rPr>
          <w:i/>
          <w:iCs/>
        </w:rPr>
        <w:t xml:space="preserve">Table 4.7: Sensitivity of the blended-versus-heuristic agreement to the score-combination weights. The Δ row shows the absolute movement after switching from the author-selected weighting to equal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 0.25, 0.15, 0.15, 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r>
        <w:tc>
          <w:tcPr/>
          <w:p>
            <w:pPr>
              <w:pStyle w:val="Compact"/>
            </w:pPr>
            <w:r>
              <w:t xml:space="preserve">Δ</w:t>
            </w:r>
          </w:p>
        </w:tc>
        <w:tc>
          <w:tcPr/>
          <w:p>
            <w:pPr>
              <w:pStyle w:val="Compact"/>
            </w:pPr>
            <w:r>
              <w:t xml:space="preserve">−0.023</w:t>
            </w:r>
          </w:p>
        </w:tc>
        <w:tc>
          <w:tcPr/>
          <w:p>
            <w:pPr>
              <w:pStyle w:val="Compact"/>
            </w:pPr>
            <w:r>
              <w:t xml:space="preserve">−0.024</w:t>
            </w:r>
          </w:p>
        </w:tc>
      </w:tr>
    </w:tbl>
    <w:p>
      <w:pPr>
        <w:pStyle w:val="BodyText"/>
      </w:pPr>
      <w:r>
        <w:t xml:space="preserve">Pearson moves by Δ = −0.023 and Spearman by Δ = −0.024 after rounding to three decimals. Both remain above the practical 0.7 interpretation anchor, so the value-association result is not dependent on the exact heuristic sub-score weighting choice. The rank-agreement reading is similarly robust; the comparative claim of Section 4.3.1 is therefore weighting-invariant within this evaluation set rather than weighting-specific.</w:t>
      </w:r>
    </w:p>
    <w:bookmarkEnd w:id="109"/>
    <w:bookmarkStart w:id="110" w:name="heuristic-enhancement-ablation-stage-h"/>
    <w:p>
      <w:pPr>
        <w:pStyle w:val="Heading3"/>
      </w:pPr>
      <w:r>
        <w:t xml:space="preserve">4.3.6 Heuristic-enhancement ablation (Stage H)</w:t>
      </w:r>
    </w:p>
    <w:p>
      <w:pPr>
        <w:pStyle w:val="FirstParagraph"/>
      </w:pPr>
      <w:r>
        <w:t xml:space="preserve">Stage H tested whether targeted heuristic enhancements could close the LLM-only residual without adding a deployed neural dependency. A separate</w:t>
      </w:r>
      <w:r>
        <w:t xml:space="preserve"> </w:t>
      </w:r>
      <w:r>
        <w:rPr>
          <w:rStyle w:val="VerbatimChar"/>
        </w:rPr>
        <w:t xml:space="preserve">quality_signals_v3.py</w:t>
      </w:r>
      <w:r>
        <w:t xml:space="preserve"> </w:t>
      </w:r>
      <w:r>
        <w:t xml:space="preserve">module added five gated signals: SBERT semantic fallback with</w:t>
      </w:r>
      <w:r>
        <w:t xml:space="preserve"> </w:t>
      </w:r>
      <w:r>
        <w:rPr>
          <w:rStyle w:val="VerbatimChar"/>
        </w:rPr>
        <w:t xml:space="preserve">all-MiniLM-L6-v2</w:t>
      </w:r>
      <w:r>
        <w:t xml:space="preserve"> </w:t>
      </w:r>
      <w:r>
        <w:t xml:space="preserve">at cosine threshold 0.65 (H.1), STAR-format detection (H.2), cross-axis coherence checks (H.3), bigram/trigram matching (H.4), and ESCO expansion from 107 to 354 entries (H.5). Each variant was compared against the same post-hoc LLM-only baseline, so no additional LLM calls were issued.</w:t>
      </w:r>
    </w:p>
    <w:p>
      <w:pPr>
        <w:pStyle w:val="BodyText"/>
      </w:pPr>
      <w:r>
        <w:t xml:space="preserve">Table 4.8 reports the Pearson correlation against the post-hoc LLM-only score for each variant, with the cluster-bootstrap interval and the absolute delta against the v2 baseline.</w:t>
      </w:r>
    </w:p>
    <w:p>
      <w:pPr>
        <w:pStyle w:val="BodyText"/>
      </w:pPr>
      <w:r>
        <w:rPr>
          <w:i/>
          <w:iCs/>
        </w:rPr>
        <w:t xml:space="preserve">Table 4.8: Stage H ablation. Pearson correlation between each variant and the post-hoc LLM-only score, with cluster-bootstrap 95% confidence intervals (</w:t>
      </w:r>
      <w:r>
        <w:rPr>
          <w:rStyle w:val="VerbatimChar"/>
          <w:i/>
          <w:iCs/>
        </w:rPr>
        <w:t xml:space="preserve">resume_id</w:t>
      </w:r>
      <w:r>
        <w:rPr>
          <w:i/>
          <w:iCs/>
        </w:rPr>
        <w:t xml:space="preserve"> </w:t>
      </w:r>
      <w:r>
        <w:rPr>
          <w:i/>
          <w:iCs/>
        </w:rPr>
        <w:t xml:space="preserve">clusters, 2 000 resamples, seed = 42). Bold rows mark the v2 baseline and the full v3 stack endpoints of the ablation.</w:t>
      </w:r>
    </w:p>
    <w:tbl>
      <w:tblPr>
        <w:tblStyle w:val="Table"/>
        <w:tblW w:type="pct" w:w="5000"/>
        <w:tblLayout w:type="fixed"/>
        <w:tblLook w:firstRow="1" w:lastRow="0" w:firstColumn="0" w:lastColumn="0" w:noHBand="0" w:noVBand="0" w:val="0020"/>
      </w:tblPr>
      <w:tblGrid>
        <w:gridCol w:w="1397"/>
        <w:gridCol w:w="2018"/>
        <w:gridCol w:w="1242"/>
        <w:gridCol w:w="1863"/>
        <w:gridCol w:w="1397"/>
      </w:tblGrid>
      <w:tr>
        <w:trPr>
          <w:tblHeader w:val="on"/>
        </w:trPr>
        <w:tc>
          <w:tcPr/>
          <w:p>
            <w:pPr>
              <w:pStyle w:val="Compact"/>
            </w:pPr>
            <w:r>
              <w:t xml:space="preserve">Variant</w:t>
            </w:r>
          </w:p>
        </w:tc>
        <w:tc>
          <w:tcPr/>
          <w:p>
            <w:pPr>
              <w:pStyle w:val="Compact"/>
            </w:pPr>
            <w:r>
              <w:t xml:space="preserve">Pearson</w:t>
            </w:r>
            <w:r>
              <w:t xml:space="preserve"> </w:t>
            </w:r>
            <w:r>
              <w:rPr>
                <w:i/>
                <w:iCs/>
              </w:rPr>
              <w:t xml:space="preserve">r</w:t>
            </w:r>
          </w:p>
        </w:tc>
        <w:tc>
          <w:tcPr/>
          <w:p>
            <w:pPr>
              <w:pStyle w:val="Compact"/>
            </w:pPr>
            <w:r>
              <w:t xml:space="preserve">95% CI</w:t>
            </w:r>
          </w:p>
        </w:tc>
        <w:tc>
          <w:tcPr/>
          <w:p>
            <w:pPr>
              <w:pStyle w:val="Compact"/>
            </w:pPr>
            <w:r>
              <w:t xml:space="preserve">Spearman ρ</w:t>
            </w:r>
          </w:p>
        </w:tc>
        <w:tc>
          <w:tcPr/>
          <w:p>
            <w:pPr>
              <w:pStyle w:val="Compact"/>
            </w:pPr>
            <w:r>
              <w:t xml:space="preserve">Δ vs v2</w:t>
            </w:r>
          </w:p>
        </w:tc>
      </w:tr>
      <w:tr>
        <w:tc>
          <w:tcPr/>
          <w:p>
            <w:pPr>
              <w:pStyle w:val="Compact"/>
            </w:pPr>
            <w:r>
              <w:rPr>
                <w:b/>
                <w:bCs/>
              </w:rPr>
              <w:t xml:space="preserve">heuristic-v2 (BM25 + ESCO + fuzzy)</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c>
          <w:tcPr/>
          <w:p>
            <w:pPr>
              <w:pStyle w:val="Compact"/>
            </w:pPr>
            <w:r>
              <w:t xml:space="preserve">baseline</w:t>
            </w:r>
          </w:p>
        </w:tc>
      </w:tr>
      <w:tr>
        <w:tc>
          <w:tcPr/>
          <w:p>
            <w:pPr>
              <w:pStyle w:val="Compact"/>
            </w:pPr>
            <w:r>
              <w:t xml:space="preserve">heuristic-v3 with no Stage H features</w:t>
            </w:r>
          </w:p>
        </w:tc>
        <w:tc>
          <w:tcPr/>
          <w:p>
            <w:pPr>
              <w:pStyle w:val="Compact"/>
            </w:pPr>
            <w:r>
              <w:t xml:space="preserve">0.627</w:t>
            </w:r>
          </w:p>
        </w:tc>
        <w:tc>
          <w:tcPr/>
          <w:p>
            <w:pPr>
              <w:pStyle w:val="Compact"/>
            </w:pPr>
            <w:r>
              <w:t xml:space="preserve">[0.470, 0.758]</w:t>
            </w:r>
          </w:p>
        </w:tc>
        <w:tc>
          <w:tcPr/>
          <w:p>
            <w:pPr>
              <w:pStyle w:val="Compact"/>
            </w:pPr>
            <w:r>
              <w:t xml:space="preserve">0.596</w:t>
            </w:r>
          </w:p>
        </w:tc>
        <w:tc>
          <w:tcPr/>
          <w:p>
            <w:pPr>
              <w:pStyle w:val="Compact"/>
            </w:pPr>
            <w:r>
              <w:t xml:space="preserve">+0.000</w:t>
            </w:r>
          </w:p>
        </w:tc>
      </w:tr>
      <w:tr>
        <w:tc>
          <w:tcPr/>
          <w:p>
            <w:pPr>
              <w:pStyle w:val="Compact"/>
            </w:pPr>
            <w:r>
              <w:t xml:space="preserve">Bigram/trigram matching (H.4)</w:t>
            </w:r>
          </w:p>
        </w:tc>
        <w:tc>
          <w:tcPr/>
          <w:p>
            <w:pPr>
              <w:pStyle w:val="Compact"/>
            </w:pPr>
            <w:r>
              <w:t xml:space="preserve">0.629</w:t>
            </w:r>
          </w:p>
        </w:tc>
        <w:tc>
          <w:tcPr/>
          <w:p>
            <w:pPr>
              <w:pStyle w:val="Compact"/>
            </w:pPr>
            <w:r>
              <w:t xml:space="preserve">[0.470, 0.758]</w:t>
            </w:r>
          </w:p>
        </w:tc>
        <w:tc>
          <w:tcPr/>
          <w:p>
            <w:pPr>
              <w:pStyle w:val="Compact"/>
            </w:pPr>
            <w:r>
              <w:t xml:space="preserve">0.583</w:t>
            </w:r>
          </w:p>
        </w:tc>
        <w:tc>
          <w:tcPr/>
          <w:p>
            <w:pPr>
              <w:pStyle w:val="Compact"/>
            </w:pPr>
            <w:r>
              <w:t xml:space="preserve">+0.002</w:t>
            </w:r>
          </w:p>
        </w:tc>
      </w:tr>
      <w:tr>
        <w:tc>
          <w:tcPr/>
          <w:p>
            <w:pPr>
              <w:pStyle w:val="Compact"/>
            </w:pPr>
            <w:r>
              <w:t xml:space="preserve">SBERT semantic fallback (H.1)</w:t>
            </w:r>
          </w:p>
        </w:tc>
        <w:tc>
          <w:tcPr/>
          <w:p>
            <w:pPr>
              <w:pStyle w:val="Compact"/>
            </w:pPr>
            <w:r>
              <w:t xml:space="preserve">0.623</w:t>
            </w:r>
          </w:p>
        </w:tc>
        <w:tc>
          <w:tcPr/>
          <w:p>
            <w:pPr>
              <w:pStyle w:val="Compact"/>
            </w:pPr>
            <w:r>
              <w:t xml:space="preserve">[0.452, 0.759]</w:t>
            </w:r>
          </w:p>
        </w:tc>
        <w:tc>
          <w:tcPr/>
          <w:p>
            <w:pPr>
              <w:pStyle w:val="Compact"/>
            </w:pPr>
            <w:r>
              <w:t xml:space="preserve">0.573</w:t>
            </w:r>
          </w:p>
        </w:tc>
        <w:tc>
          <w:tcPr/>
          <w:p>
            <w:pPr>
              <w:pStyle w:val="Compact"/>
            </w:pPr>
            <w:r>
              <w:t xml:space="preserve">−0.004</w:t>
            </w:r>
          </w:p>
        </w:tc>
      </w:tr>
      <w:tr>
        <w:tc>
          <w:tcPr/>
          <w:p>
            <w:pPr>
              <w:pStyle w:val="Compact"/>
            </w:pPr>
            <w:r>
              <w:t xml:space="preserve">STAR detection (H.2)</w:t>
            </w:r>
          </w:p>
        </w:tc>
        <w:tc>
          <w:tcPr/>
          <w:p>
            <w:pPr>
              <w:pStyle w:val="Compact"/>
            </w:pPr>
            <w:r>
              <w:t xml:space="preserve">0.621</w:t>
            </w:r>
          </w:p>
        </w:tc>
        <w:tc>
          <w:tcPr/>
          <w:p>
            <w:pPr>
              <w:pStyle w:val="Compact"/>
            </w:pPr>
            <w:r>
              <w:t xml:space="preserve">[0.463, 0.755]</w:t>
            </w:r>
          </w:p>
        </w:tc>
        <w:tc>
          <w:tcPr/>
          <w:p>
            <w:pPr>
              <w:pStyle w:val="Compact"/>
            </w:pPr>
            <w:r>
              <w:t xml:space="preserve">0.596</w:t>
            </w:r>
          </w:p>
        </w:tc>
        <w:tc>
          <w:tcPr/>
          <w:p>
            <w:pPr>
              <w:pStyle w:val="Compact"/>
            </w:pPr>
            <w:r>
              <w:t xml:space="preserve">−0.006</w:t>
            </w:r>
          </w:p>
        </w:tc>
      </w:tr>
      <w:tr>
        <w:tc>
          <w:tcPr/>
          <w:p>
            <w:pPr>
              <w:pStyle w:val="Compact"/>
            </w:pPr>
            <w:r>
              <w:t xml:space="preserve">ESCO expansion 107 → 354 (H.5)</w:t>
            </w:r>
          </w:p>
        </w:tc>
        <w:tc>
          <w:tcPr/>
          <w:p>
            <w:pPr>
              <w:pStyle w:val="Compact"/>
            </w:pPr>
            <w:r>
              <w:t xml:space="preserve">0.617</w:t>
            </w:r>
          </w:p>
        </w:tc>
        <w:tc>
          <w:tcPr/>
          <w:p>
            <w:pPr>
              <w:pStyle w:val="Compact"/>
            </w:pPr>
            <w:r>
              <w:t xml:space="preserve">[0.461, 0.752]</w:t>
            </w:r>
          </w:p>
        </w:tc>
        <w:tc>
          <w:tcPr/>
          <w:p>
            <w:pPr>
              <w:pStyle w:val="Compact"/>
            </w:pPr>
            <w:r>
              <w:t xml:space="preserve">0.578</w:t>
            </w:r>
          </w:p>
        </w:tc>
        <w:tc>
          <w:tcPr/>
          <w:p>
            <w:pPr>
              <w:pStyle w:val="Compact"/>
            </w:pPr>
            <w:r>
              <w:t xml:space="preserve">−0.009</w:t>
            </w:r>
          </w:p>
        </w:tc>
      </w:tr>
      <w:tr>
        <w:tc>
          <w:tcPr/>
          <w:p>
            <w:pPr>
              <w:pStyle w:val="Compact"/>
            </w:pPr>
            <w:r>
              <w:t xml:space="preserve">Cross-axis coherence (H.3)</w:t>
            </w:r>
          </w:p>
        </w:tc>
        <w:tc>
          <w:tcPr/>
          <w:p>
            <w:pPr>
              <w:pStyle w:val="Compact"/>
            </w:pPr>
            <w:r>
              <w:t xml:space="preserve">0.605</w:t>
            </w:r>
          </w:p>
        </w:tc>
        <w:tc>
          <w:tcPr/>
          <w:p>
            <w:pPr>
              <w:pStyle w:val="Compact"/>
            </w:pPr>
            <w:r>
              <w:t xml:space="preserve">[0.438, 0.746]</w:t>
            </w:r>
          </w:p>
        </w:tc>
        <w:tc>
          <w:tcPr/>
          <w:p>
            <w:pPr>
              <w:pStyle w:val="Compact"/>
            </w:pPr>
            <w:r>
              <w:t xml:space="preserve">0.568</w:t>
            </w:r>
          </w:p>
        </w:tc>
        <w:tc>
          <w:tcPr/>
          <w:p>
            <w:pPr>
              <w:pStyle w:val="Compact"/>
            </w:pPr>
            <w:r>
              <w:t xml:space="preserve">−0.022</w:t>
            </w:r>
          </w:p>
        </w:tc>
      </w:tr>
      <w:tr>
        <w:tc>
          <w:tcPr/>
          <w:p>
            <w:pPr>
              <w:pStyle w:val="Compact"/>
            </w:pPr>
            <w:r>
              <w:rPr>
                <w:b/>
                <w:bCs/>
              </w:rPr>
              <w:t xml:space="preserve">heuristic-v3 full stack</w:t>
            </w:r>
          </w:p>
        </w:tc>
        <w:tc>
          <w:tcPr/>
          <w:p>
            <w:pPr>
              <w:pStyle w:val="Compact"/>
            </w:pPr>
            <w:r>
              <w:rPr>
                <w:b/>
                <w:bCs/>
              </w:rPr>
              <w:t xml:space="preserve">0.590</w:t>
            </w:r>
          </w:p>
        </w:tc>
        <w:tc>
          <w:tcPr/>
          <w:p>
            <w:pPr>
              <w:pStyle w:val="Compact"/>
            </w:pPr>
            <w:r>
              <w:t xml:space="preserve">[0.415, 0.735]</w:t>
            </w:r>
          </w:p>
        </w:tc>
        <w:tc>
          <w:tcPr/>
          <w:p>
            <w:pPr>
              <w:pStyle w:val="Compact"/>
            </w:pPr>
            <w:r>
              <w:t xml:space="preserve">0.556</w:t>
            </w:r>
          </w:p>
        </w:tc>
        <w:tc>
          <w:tcPr/>
          <w:p>
            <w:pPr>
              <w:pStyle w:val="Compact"/>
            </w:pPr>
            <w:r>
              <w:t xml:space="preserve">−0.036</w:t>
            </w:r>
          </w:p>
        </w:tc>
      </w:tr>
    </w:tbl>
    <w:p>
      <w:pPr>
        <w:pStyle w:val="BodyText"/>
      </w:pPr>
      <w:r>
        <w:t xml:space="preserve">The result is a controlled null with small negative drift in the full configuration.</w:t>
      </w:r>
      <w:r>
        <w:t xml:space="preserve"> </w:t>
      </w:r>
      <w:r>
        <w:rPr>
          <w:rStyle w:val="VerbatimChar"/>
        </w:rPr>
        <w:t xml:space="preserve">v3-empty</w:t>
      </w:r>
      <w:r>
        <w:t xml:space="preserve"> </w:t>
      </w:r>
      <w:r>
        <w:t xml:space="preserve">reproduces v2 exactly to three decimals, validating the module boundary. Single-feature deltas range from +0.002 to −0.022 and remain inside the cluster-bootstrap interval width on the 100-pair set, so none of the variants are statistically distinguishable from the v2 baseline. The full v3 stack falls to</w:t>
      </w:r>
      <w:r>
        <w:t xml:space="preserve"> </w:t>
      </w:r>
      <w:r>
        <w:rPr>
          <w:i/>
          <w:iCs/>
        </w:rPr>
        <w:t xml:space="preserve">r</w:t>
      </w:r>
      <w:r>
        <w:t xml:space="preserve"> </w:t>
      </w:r>
      <w:r>
        <w:t xml:space="preserve">= 0.590 (Δ = −0.036), suggesting that small false-positive effects compound when all five gated signals fire simultaneously.</w:t>
      </w:r>
    </w:p>
    <w:p>
      <w:pPr>
        <w:pStyle w:val="BodyText"/>
      </w:pPr>
      <w:r>
        <w:t xml:space="preserve">The likely explanation is that the synthetic benchmark already exposes canonical skill overlap, so extra keyword recall through SBERT, n-grams, or ESCO expansion adds little. The remaining gap to the LLM-only score reflects prose quality, narrative coherence, and role-fit judgement rather than missing keyword evidence. The ablation is reproducible through</w:t>
      </w:r>
      <w:r>
        <w:t xml:space="preserve"> </w:t>
      </w:r>
      <w:r>
        <w:rPr>
          <w:rStyle w:val="VerbatimChar"/>
        </w:rPr>
        <w:t xml:space="preserve">scripts/eval_scoring_v3_ablation.py</w:t>
      </w:r>
      <w:r>
        <w:t xml:space="preserve">,</w:t>
      </w:r>
      <w:r>
        <w:t xml:space="preserve"> </w:t>
      </w:r>
      <w:r>
        <w:rPr>
          <w:rStyle w:val="VerbatimChar"/>
        </w:rPr>
        <w:t xml:space="preserve">scripts/analyze_v3_ablation.py</w:t>
      </w:r>
      <w:r>
        <w:t xml:space="preserve">,</w:t>
      </w:r>
      <w:r>
        <w:t xml:space="preserve"> </w:t>
      </w:r>
      <w:r>
        <w:rPr>
          <w:rStyle w:val="VerbatimChar"/>
        </w:rPr>
        <w:t xml:space="preserve">backend/app/services/quality_signals_v3.py</w:t>
      </w:r>
      <w:r>
        <w:t xml:space="preserve">, and</w:t>
      </w:r>
      <w:r>
        <w:t xml:space="preserve"> </w:t>
      </w:r>
      <w:r>
        <w:rPr>
          <w:rStyle w:val="VerbatimChar"/>
        </w:rPr>
        <w:t xml:space="preserve">backend/app/data/esco_skills_expanded.json</w:t>
      </w:r>
      <w:r>
        <w:t xml:space="preserve">; PyTorch and sentence-transformers stay in</w:t>
      </w:r>
      <w:r>
        <w:t xml:space="preserve"> </w:t>
      </w:r>
      <w:r>
        <w:rPr>
          <w:rStyle w:val="VerbatimChar"/>
        </w:rPr>
        <w:t xml:space="preserve">backend/requirements-thesis-eval.txt</w:t>
      </w:r>
      <w:r>
        <w:t xml:space="preserve">, outside the production requirements.</w:t>
      </w:r>
    </w:p>
    <w:p>
      <w:pPr>
        <w:pStyle w:val="BodyText"/>
      </w:pPr>
      <w:r>
        <w:t xml:space="preserve">This null result is still useful. It prevents the future-work section from overstating sentence-transformer matching as an obvious next production step. On this benchmark, the strict v2 heuristic is already near the available keyword-and-structure ceiling, and the unresolved gap sits in evidence classes that require either different features or a different evaluation surface.</w:t>
      </w:r>
    </w:p>
    <w:bookmarkEnd w:id="110"/>
    <w:bookmarkStart w:id="111" w:name="Xcff2c0d3320ec1ce82f83c9b1d53013643ebe8f"/>
    <w:p>
      <w:pPr>
        <w:pStyle w:val="Heading3"/>
      </w:pPr>
      <w:r>
        <w:t xml:space="preserve">4.3.7 Implementation note on Stage H reproducibility</w:t>
      </w:r>
    </w:p>
    <w:p>
      <w:pPr>
        <w:pStyle w:val="FirstParagraph"/>
      </w:pPr>
      <w:r>
        <w:t xml:space="preserve">The ablation reuses</w:t>
      </w:r>
      <w:r>
        <w:t xml:space="preserve"> </w:t>
      </w:r>
      <w:r>
        <w:rPr>
          <w:rStyle w:val="VerbatimChar"/>
        </w:rPr>
        <w:t xml:space="preserve">thesis/eval-results.json</w:t>
      </w:r>
      <w:r>
        <w:t xml:space="preserve"> </w:t>
      </w:r>
      <w:r>
        <w:t xml:space="preserve">from Stage G and recovers LLM-only scores through the identity in Section 4.3.1’. It runs in approximately 4 minutes on commodity hardware: about 110 s for SBERT first load and inference, and about 10 s combined for deterministic variants. This keeps Stage H as a research artefact rather than a production dependency.</w:t>
      </w:r>
    </w:p>
    <w:bookmarkEnd w:id="111"/>
    <w:bookmarkEnd w:id="112"/>
    <w:bookmarkStart w:id="113" w:name="discussion-and-limitations"/>
    <w:p>
      <w:pPr>
        <w:pStyle w:val="Heading2"/>
      </w:pPr>
      <w:r>
        <w:t xml:space="preserve">4.4 Discussion and limitations</w:t>
      </w:r>
    </w:p>
    <w:p>
      <w:pPr>
        <w:pStyle w:val="FirstParagraph"/>
      </w:pPr>
      <w:r>
        <w:t xml:space="preserve">Within this synthetic evaluation set, the fully heuristic mode recovers most of the blended mode’s aggregate discriminative power: Pearson</w:t>
      </w:r>
      <w:r>
        <w:t xml:space="preserve"> </w:t>
      </w:r>
      <w:r>
        <w:rPr>
          <w:i/>
          <w:iCs/>
        </w:rPr>
        <w:t xml:space="preserve">r</w:t>
      </w:r>
      <w:r>
        <w:t xml:space="preserve"> </w:t>
      </w:r>
      <w:r>
        <w:t xml:space="preserve">= 0.836 [95% CI 0.762, 0.896], Spearman ρ = 0.847, median latency 25.5 ms rather than 18.2 s, and zero LLM-side marginal cost. After removing the structural 0.40 heuristic share in the blended formula, LLM-only versus heuristic agreement is</w:t>
      </w:r>
      <w:r>
        <w:t xml:space="preserve"> </w:t>
      </w:r>
      <w:r>
        <w:rPr>
          <w:i/>
          <w:iCs/>
        </w:rPr>
        <w:t xml:space="preserve">r</w:t>
      </w:r>
      <w:r>
        <w:t xml:space="preserve"> </w:t>
      </w:r>
      <w:r>
        <w:t xml:space="preserve">= 0.627 [95% CI 0.470, 0.758]. The deterministic baseline is therefore strong enough to justify deployment as a fallback and runtime mode, while the blended mode remains valuable for qualitative explanations and clarity-sensitive judgement.</w:t>
      </w:r>
    </w:p>
    <w:p>
      <w:pPr>
        <w:pStyle w:val="BodyText"/>
      </w:pPr>
      <w:r>
        <w:t xml:space="preserve">Four limitations constrain the claim.</w:t>
      </w:r>
      <w:r>
        <w:t xml:space="preserve"> </w:t>
      </w:r>
      <w:r>
        <w:rPr>
          <w:b/>
          <w:bCs/>
        </w:rPr>
        <w:t xml:space="preserve">Single-language scope:</w:t>
      </w:r>
      <w:r>
        <w:t xml:space="preserve"> </w:t>
      </w:r>
      <w:r>
        <w:t xml:space="preserve">all evaluation resumes and job descriptions are in English, although ESCO is multilingual.</w:t>
      </w:r>
      <w:r>
        <w:t xml:space="preserve"> </w:t>
      </w:r>
      <w:r>
        <w:rPr>
          <w:b/>
          <w:bCs/>
        </w:rPr>
        <w:t xml:space="preserve">Single-subject evaluation:</w:t>
      </w:r>
      <w:r>
        <w:t xml:space="preserve"> </w:t>
      </w:r>
      <w:r>
        <w:t xml:space="preserve">one author synthesised all 30 resumes, so stylistic regularities may not generalise.</w:t>
      </w:r>
      <w:r>
        <w:t xml:space="preserve"> </w:t>
      </w:r>
      <w:r>
        <w:rPr>
          <w:b/>
          <w:bCs/>
        </w:rPr>
        <w:t xml:space="preserve">Single LLM provider:</w:t>
      </w:r>
      <w:r>
        <w:t xml:space="preserve"> </w:t>
      </w:r>
      <w:r>
        <w:t xml:space="preserve">the blended mode uses Gemini 2.5 Flash only; cross-model comparisons remain a known limitation of LLM-as-judge evaluations [29].</w:t>
      </w:r>
      <w:r>
        <w:t xml:space="preserve"> </w:t>
      </w:r>
      <w:r>
        <w:rPr>
          <w:b/>
          <w:bCs/>
        </w:rPr>
        <w:t xml:space="preserve">Bias and fairness:</w:t>
      </w:r>
      <w:r>
        <w:t xml:space="preserve"> </w:t>
      </w:r>
      <w:r>
        <w:t xml:space="preserve">the benchmark has no demographic annotations and cannot support disparate-impact analysis; production deployment beyond thesis scope would require a fairness audit aligned with algorithmic-hiring literature [22, 23, 24].</w:t>
      </w:r>
    </w:p>
    <w:p>
      <w:pPr>
        <w:pStyle w:val="BodyText"/>
      </w:pPr>
      <w:r>
        <w:t xml:space="preserve">The per-sub-score breakdown is the most useful diagnostic result. Keywords and structure converge strongly, while clarity diverges. This explains why the heuristic can be fast, cheap, and operationally useful without replacing the LLM component entirely.</w:t>
      </w:r>
    </w:p>
    <w:p>
      <w:pPr>
        <w:pStyle w:val="BodyText"/>
      </w:pPr>
      <w:r>
        <w:t xml:space="preserve">A final limitation concerns trend awareness. The approved topic includes current job-market trends, but the implemented system reasons over a static resume and the current text of a job description. It does not model posting-frequency changes, regional demand, salary movement, or temporal skill adoption. Those signals would require a separate labour-market data layer and are left to future work.</w:t>
      </w:r>
    </w:p>
    <w:bookmarkEnd w:id="113"/>
    <w:bookmarkEnd w:id="114"/>
    <w:bookmarkStart w:id="118" w:name="chapter-5-conclusions"/>
    <w:p>
      <w:pPr>
        <w:pStyle w:val="Heading1"/>
      </w:pPr>
      <w:r>
        <w:t xml:space="preserve">Chapter 5 — Conclusions</w:t>
      </w:r>
    </w:p>
    <w:p>
      <w:pPr>
        <w:pStyle w:val="FirstParagraph"/>
      </w:pPr>
      <w: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15" w:name="results-1"/>
    <w:p>
      <w:pPr>
        <w:pStyle w:val="Heading2"/>
      </w:pPr>
      <w:r>
        <w:t xml:space="preserve">5.1 Results</w:t>
      </w:r>
    </w:p>
    <w:p>
      <w:pPr>
        <w:pStyle w:val="FirstParagraph"/>
      </w:pPr>
      <w:r>
        <w:rPr>
          <w:b/>
          <w:bCs/>
        </w:rPr>
        <w:t xml:space="preserve">A deployed integrated system.</w:t>
      </w:r>
      <w:r>
        <w:t xml:space="preserve"> </w:t>
      </w:r>
      <w:r>
        <w:t xml:space="preserve">The system is deployed on Railway as a single application surface and integrates six tools: Resume Analyzer, Job Match, Career Path, Cover Letter, Interview Q&amp;A, and Portfolio Planner. Chapters 2 and 3 documented the architecture, the shared pipeline, and the tool implementations. The system supports authenticated accounts, guest demonstrations, persisted tool history, regeneration chains, and runtime switching between scoring modes.</w:t>
      </w:r>
    </w:p>
    <w:p>
      <w:pPr>
        <w:pStyle w:val="BodyText"/>
      </w:pPr>
      <w:r>
        <w:rPr>
          <w:b/>
          <w:bCs/>
        </w:rPr>
        <w:t xml:space="preserve">A defendable heuristic baseline.</w:t>
      </w:r>
      <w:r>
        <w:t xml:space="preserve"> </w:t>
      </w:r>
      <w:r>
        <w:t xml:space="preserve">Chapter 4 introduced strong heuristic v2, a strictly non-neural scoring pipeline based on TF–IDF and BM25 [5, 6], ESCO-aligned skill normalisation [8, 9, 12], string-similarity fuzzy matching [7], section-weighted evidence [18], quantification detection, and action-verb scoring. The score-combination weights are author-selected but were checked through the sensitivity analysis in Section 4.3.5.</w:t>
      </w:r>
    </w:p>
    <w:p>
      <w:pPr>
        <w:pStyle w:val="BodyText"/>
      </w:pPr>
      <w:r>
        <w:rPr>
          <w:b/>
          <w:bCs/>
        </w:rPr>
        <w:t xml:space="preserve">A characterisation of the heuristic-versus-blended trade-off.</w:t>
      </w:r>
      <w:r>
        <w:t xml:space="preserve"> </w:t>
      </w:r>
      <w:r>
        <w:t xml:space="preserve">Section 4.3 reported four metric families measured across 100 (resume, job-description) pairs on the post-mitigation disjoint-vocabulary dataset. On the overall score the heuristic mode tracks the blended mode at Pearson</w:t>
      </w:r>
      <w:r>
        <w:t xml:space="preserve"> </w:t>
      </w:r>
      <w:r>
        <w:rPr>
          <w:i/>
          <w:iCs/>
        </w:rPr>
        <w:t xml:space="preserve">r</w:t>
      </w:r>
      <w:r>
        <w:t xml:space="preserve"> </w:t>
      </w:r>
      <w: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0.470, 0.758]; this is the cross-mode agreement after controlling for the 0.40 heuristic share that the blended mode carries by construction. The agreement is dominated by the</w:t>
      </w:r>
      <w:r>
        <w:t xml:space="preserve"> </w:t>
      </w:r>
      <w:r>
        <w:rPr>
          <w:i/>
          <w:iCs/>
        </w:rPr>
        <w:t xml:space="preserve">keywords</w:t>
      </w:r>
      <w:r>
        <w:t xml:space="preserve"> </w:t>
      </w:r>
      <w:r>
        <w:t xml:space="preserve">axis (</w:t>
      </w:r>
      <w:r>
        <w:rPr>
          <w:i/>
          <w:iCs/>
        </w:rPr>
        <w:t xml:space="preserve">r</w:t>
      </w:r>
      <w:r>
        <w:t xml:space="preserve"> </w:t>
      </w:r>
      <w:r>
        <w:t xml:space="preserve">= 0.937), where both modes consume the same evidence, and is weakest on the</w:t>
      </w:r>
      <w:r>
        <w:t xml:space="preserve"> </w:t>
      </w:r>
      <w:r>
        <w:rPr>
          <w:i/>
          <w:iCs/>
        </w:rPr>
        <w:t xml:space="preserve">clarity</w:t>
      </w:r>
      <w:r>
        <w:t xml:space="preserve"> </w:t>
      </w:r>
      <w:r>
        <w:t xml:space="preserve">axis (</w:t>
      </w:r>
      <w:r>
        <w:rPr>
          <w:i/>
          <w:iCs/>
        </w:rPr>
        <w:t xml:space="preserve">r</w:t>
      </w:r>
      <w:r>
        <w:t xml:space="preserve"> </w:t>
      </w:r>
      <w: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pPr>
      <w: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t xml:space="preserve"> </w:t>
      </w:r>
      <w:r>
        <w:rPr>
          <w:rStyle w:val="VerbatimChar"/>
        </w:rPr>
        <w:t xml:space="preserve">run_tool_pipeline</w:t>
      </w:r>
      <w:r>
        <w:t xml:space="preserve"> </w:t>
      </w:r>
      <w: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p>
      <w:pPr>
        <w:pStyle w:val="BodyText"/>
      </w:pPr>
      <w:r>
        <w:t xml:space="preserve">The main research lesson is methodological: a deterministic baseline should be measured rather than treated as a fallback of last resort. Before the comparison, heuristic mode existed mainly as a reliability mechanism, justified only by N3 of Chapter 2. After the study, it can be described much more precisely: weaker on prose-quality judgement (clarity</w:t>
      </w:r>
      <w:r>
        <w:t xml:space="preserve"> </w:t>
      </w:r>
      <w:r>
        <w:rPr>
          <w:i/>
          <w:iCs/>
        </w:rPr>
        <w:t xml:space="preserve">r</w:t>
      </w:r>
      <w:r>
        <w:t xml:space="preserve"> </w:t>
      </w:r>
      <w:r>
        <w:t xml:space="preserve">= 0.395) but strong enough on aggregate ranking and on legitimate skill-overlap evidence (keywords</w:t>
      </w:r>
      <w:r>
        <w:t xml:space="preserve"> </w:t>
      </w:r>
      <w:r>
        <w:rPr>
          <w:i/>
          <w:iCs/>
        </w:rPr>
        <w:t xml:space="preserve">r</w:t>
      </w:r>
      <w:r>
        <w:t xml:space="preserve"> </w:t>
      </w:r>
      <w:r>
        <w:t xml:space="preserve">= 0.937, structure</w:t>
      </w:r>
      <w:r>
        <w:t xml:space="preserve"> </w:t>
      </w:r>
      <w:r>
        <w:rPr>
          <w:i/>
          <w:iCs/>
        </w:rPr>
        <w:t xml:space="preserve">r</w:t>
      </w:r>
      <w:r>
        <w:t xml:space="preserve"> </w:t>
      </w:r>
      <w:r>
        <w:t xml:space="preserve">= 0.830) to justify its place in the deployed system as both an emergency fallback and a runtime-switchable mode for cost-sensitive or audit-sensitive deployments.</w:t>
      </w:r>
    </w:p>
    <w:p>
      <w:pPr>
        <w:pStyle w:val="BodyText"/>
      </w:pPr>
      <w:r>
        <w:rPr>
          <w:b/>
          <w:bCs/>
        </w:rPr>
        <w:t xml:space="preserve">Validity-threat closure reported in Chapter 4.</w:t>
      </w:r>
      <w:r>
        <w:t xml:space="preserve"> </w:t>
      </w:r>
      <w:r>
        <w:t xml:space="preserve">Three measurements address threats T1, T2, and T3 of Section 4.1.4, and their numerical results are reported inline in Chapter 4. The</w:t>
      </w:r>
      <w:r>
        <w:t xml:space="preserve"> </w:t>
      </w:r>
      <w:r>
        <w:rPr>
          <w:i/>
          <w:iCs/>
        </w:rPr>
        <w:t xml:space="preserve">LLM-only baseline</w:t>
      </w:r>
      <w:r>
        <w:t xml:space="preserve"> </w:t>
      </w:r>
      <w:r>
        <w:t xml:space="preserve">per pair, recovered post-hoc from the locked-payload identity rather than from a second LLM rerun, is reported in Section 4.3.1’ and addresses threat T2 (</w:t>
      </w:r>
      <w:r>
        <w:rPr>
          <w:i/>
          <w:iCs/>
        </w:rPr>
        <w:t xml:space="preserve">r</w:t>
      </w:r>
      <w:r>
        <w:t xml:space="preserve"> </w:t>
      </w:r>
      <w:r>
        <w:t xml:space="preserve">(LLM-only, heuristic) = 0.627 [95% CI 0.470, 0.758]). The</w:t>
      </w:r>
      <w:r>
        <w:t xml:space="preserve"> </w:t>
      </w:r>
      <w:r>
        <w:rPr>
          <w:i/>
          <w:iCs/>
        </w:rPr>
        <w:t xml:space="preserve">vocabulary-disjoint regeneration of the synthetic benchmark</w:t>
      </w:r>
      <w:r>
        <w:t xml:space="preserve"> </w:t>
      </w:r>
      <w: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t xml:space="preserve"> </w:t>
      </w:r>
      <w:r>
        <w:rPr>
          <w:i/>
          <w:iCs/>
        </w:rPr>
        <w:t xml:space="preserve">by-resume cluster-bootstrap confidence intervals</w:t>
      </w:r>
      <w:r>
        <w:t xml:space="preserve"> </w:t>
      </w:r>
      <w:r>
        <w:t xml:space="preserve">for all headline correlations, computed by resampling resume identifiers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are reported alongside the point estimates in Sections 4.3.1 and 4.3.1’ and address T3. The three closures together support the</w:t>
      </w:r>
      <w:r>
        <w:t xml:space="preserve"> </w:t>
      </w:r>
      <w:r>
        <w:rPr>
          <w:i/>
          <w:iCs/>
        </w:rPr>
        <w:t xml:space="preserve">strong-agreement-within-this-synthetic-evaluation-set</w:t>
      </w:r>
      <w:r>
        <w:t xml:space="preserve"> </w:t>
      </w:r>
      <w:r>
        <w:t xml:space="preserve">characterisation in Section 4.4. T4 (post-hoc heuristic design) remains a disclosed limitation rather than a closed one.</w:t>
      </w:r>
    </w:p>
    <w:bookmarkEnd w:id="115"/>
    <w:bookmarkStart w:id="116" w:name="limitations"/>
    <w:p>
      <w:pPr>
        <w:pStyle w:val="Heading2"/>
      </w:pPr>
      <w:r>
        <w:t xml:space="preserve">5.2 Limitations</w:t>
      </w:r>
    </w:p>
    <w:p>
      <w:pPr>
        <w:pStyle w:val="FirstParagraph"/>
      </w:pPr>
      <w:r>
        <w:t xml:space="preserve">The empirical claim is bounded by the evaluation design. The dataset is</w:t>
      </w:r>
      <w:r>
        <w:t xml:space="preserve"> </w:t>
      </w:r>
      <w:r>
        <w:rPr>
          <w:b/>
          <w:bCs/>
        </w:rPr>
        <w:t xml:space="preserve">single-language</w:t>
      </w:r>
      <w:r>
        <w:t xml:space="preserve"> </w:t>
      </w:r>
      <w:r>
        <w:t xml:space="preserve">(English) and</w:t>
      </w:r>
      <w:r>
        <w:t xml:space="preserve"> </w:t>
      </w:r>
      <w:r>
        <w:rPr>
          <w:b/>
          <w:bCs/>
        </w:rPr>
        <w:t xml:space="preserve">single-author</w:t>
      </w:r>
      <w:r>
        <w:t xml:space="preserve"> </w:t>
      </w:r>
      <w:r>
        <w:t xml:space="preserve">(all 30 resumes were synthesised by one author), so the result is a within-author baseline rather than a cross-population hiring claim. The blended mode uses a</w:t>
      </w:r>
      <w:r>
        <w:t xml:space="preserve"> </w:t>
      </w:r>
      <w:r>
        <w:rPr>
          <w:b/>
          <w:bCs/>
        </w:rPr>
        <w:t xml:space="preserve">single LLM provider</w:t>
      </w:r>
      <w:r>
        <w:t xml:space="preserve">, Google Vertex AI Gemini 2.5 Flash, and should not be assumed to behave identically with Claude, GPT, Llama, or another hosted model.</w:t>
      </w:r>
    </w:p>
    <w:p>
      <w:pPr>
        <w:pStyle w:val="BodyText"/>
      </w:pPr>
      <w:r>
        <w:t xml:space="preserve">Two operational limits also remain. First, the in-memory cache is not shared between processes; this is acceptable for thesis-scope traffic but not for larger production scale. Second, the implemented system covers skills and experience but does not yet model temporal job-market trends such as posting-frequency shifts, regional demand changes, or hiring-rate dynamics.</w:t>
      </w:r>
    </w:p>
    <w:p>
      <w:pPr>
        <w:pStyle w:val="BodyText"/>
      </w:pPr>
      <w:r>
        <w:t xml:space="preserve">Finally, the system is a thesis demonstration rather than a sustainable commercial product. The monetisation strategy described in</w:t>
      </w:r>
      <w:r>
        <w:t xml:space="preserve"> </w:t>
      </w:r>
      <w:r>
        <w:rPr>
          <w:rStyle w:val="VerbatimChar"/>
        </w:rPr>
        <w:t xml:space="preserve">docs/spec.md</w:t>
      </w:r>
      <w:r>
        <w:t xml:space="preserve"> </w:t>
      </w:r>
      <w:r>
        <w:t xml:space="preserve">is deliberately deferred to a post-thesis V1.1 release and is not evaluated here.</w:t>
      </w:r>
    </w:p>
    <w:p>
      <w:pPr>
        <w:pStyle w:val="BodyText"/>
      </w:pPr>
      <w:r>
        <w:t xml:space="preserve">The fairness limitation is separate from those operational issues. Automated hiring tools can reproduce or amplify bias when resume content, model training data, or historical decisions correlate with protected attributes [22, 23, 24]. The present benchmark has no demographic labels, so disparate-impact diagnostics cannot be computed.</w:t>
      </w:r>
    </w:p>
    <w:p>
      <w:pPr>
        <w:pStyle w:val="BodyText"/>
      </w:pPr>
      <w:r>
        <w:t xml:space="preserve">A further methodological limitation is that the evaluation measures score agreement rather than downstream user outcomes. The study shows how closely two scoring modes track each other on the synthetic benchmark, but it does not measure whether candidates rewrite better resumes, receive more interviews, or make better career decisions after using the system. Those outcomes would require a longitudinal user study with consented participants, which is outside the thesis schedule.</w:t>
      </w:r>
    </w:p>
    <w:bookmarkEnd w:id="116"/>
    <w:bookmarkStart w:id="117" w:name="future-development"/>
    <w:p>
      <w:pPr>
        <w:pStyle w:val="Heading2"/>
      </w:pPr>
      <w:r>
        <w:t xml:space="preserve">5.3 Future development</w:t>
      </w:r>
    </w:p>
    <w:p>
      <w:pPr>
        <w:pStyle w:val="FirstParagraph"/>
      </w:pPr>
      <w:r>
        <w:t xml:space="preserve">Future work follows directly from these limitations.</w:t>
      </w:r>
    </w:p>
    <w:p>
      <w:pPr>
        <w:pStyle w:val="BodyText"/>
      </w:pPr>
      <w:r>
        <w:rPr>
          <w:b/>
          <w:bCs/>
        </w:rPr>
        <w:t xml:space="preserve">Polish-language coverage.</w:t>
      </w:r>
      <w:r>
        <w:t xml:space="preserve"> </w:t>
      </w:r>
      <w:r>
        <w:t xml:space="preserve">ESCO is multilingual, but the current bundled subset uses English labels. Adding Polish labels would make the system more relevant to a Wrocław-based deployment. The required change is contained: language detection, Polish-aware preprocessing in</w:t>
      </w:r>
      <w:r>
        <w:t xml:space="preserve"> </w:t>
      </w:r>
      <w:r>
        <w:rPr>
          <w:rStyle w:val="VerbatimChar"/>
        </w:rPr>
        <w:t xml:space="preserve">quality_signals_v2.py</w:t>
      </w:r>
      <w:r>
        <w:t xml:space="preserve">, and locale-specific prompt branches.</w:t>
      </w:r>
    </w:p>
    <w:p>
      <w:pPr>
        <w:pStyle w:val="BodyText"/>
      </w:pPr>
      <w:r>
        <w:t xml:space="preserve">This extension would also test whether the top-down ESCO strategy remains robust when resumes mix Polish headings, English technical skills, and hybrid phrasing common in local technology roles. The architecture separates preprocessing, prompt construction, and scoring, so the work is mainly data and language handling rather than a new system design.</w:t>
      </w:r>
    </w:p>
    <w:p>
      <w:pPr>
        <w:pStyle w:val="BodyText"/>
      </w:pPr>
      <w:r>
        <w:t xml:space="preserve">The Polish extension should not be treated as a translation-only task. Resume section labels, education terminology, contract types, and local job-title conventions differ from English examples, and technical resumes often mix languages in one document. A useful implementation would therefore combine ESCO label expansion with Polish section detection and bilingual prompt evaluation.</w:t>
      </w:r>
    </w:p>
    <w:p>
      <w:pPr>
        <w:pStyle w:val="BodyText"/>
      </w:pPr>
      <w:r>
        <w:rPr>
          <w:b/>
          <w:bCs/>
        </w:rPr>
        <w:t xml:space="preserve">Sentence-transformer intermediate tier.</w:t>
      </w:r>
      <w:r>
        <w:t xml:space="preserve"> </w:t>
      </w:r>
      <w:r>
        <w:t xml:space="preserve">A third scoring mode could sit between strict classical IR and full LLM inference: a sentence-transformer semantic matcher such as</w:t>
      </w:r>
      <w:r>
        <w:t xml:space="preserve"> </w:t>
      </w:r>
      <w:r>
        <w:rPr>
          <w:rStyle w:val="VerbatimChar"/>
        </w:rPr>
        <w:t xml:space="preserve">all-MiniLM-L6-v2</w:t>
      </w:r>
      <w:r>
        <w:t xml:space="preserve"> </w:t>
      </w:r>
      <w:r>
        <w:t xml:space="preserve">[20, 21]. Stage H tested this idea as an ablation, but on the synthetic benchmark the SBERT-only variant reached</w:t>
      </w:r>
      <w:r>
        <w:t xml:space="preserve"> </w:t>
      </w:r>
      <w:r>
        <w:rPr>
          <w:i/>
          <w:iCs/>
        </w:rPr>
        <w:t xml:space="preserve">r</w:t>
      </w:r>
      <w:r>
        <w:t xml:space="preserve"> </w:t>
      </w:r>
      <w:r>
        <w:t xml:space="preserve">= 0.623 (Δ = −0.004 versus v2) and the full v3 stack reached</w:t>
      </w:r>
      <w:r>
        <w:t xml:space="preserve"> </w:t>
      </w:r>
      <w:r>
        <w:rPr>
          <w:i/>
          <w:iCs/>
        </w:rPr>
        <w:t xml:space="preserve">r</w:t>
      </w:r>
      <w:r>
        <w:t xml:space="preserve"> </w:t>
      </w:r>
      <w:r>
        <w:t xml:space="preserve">= 0.590 (Δ = −0.036). These results suggest that promotion to production should wait for evaluation on real-world resumes and job descriptions with more prose variation than the synthetic templates expose.</w:t>
      </w:r>
    </w:p>
    <w:p>
      <w:pPr>
        <w:pStyle w:val="BodyText"/>
      </w:pPr>
      <w:r>
        <w:rPr>
          <w:b/>
          <w:bCs/>
        </w:rPr>
        <w:t xml:space="preserve">Retrieval-augmented blended mode.</w:t>
      </w:r>
      <w:r>
        <w:t xml:space="preserve"> </w:t>
      </w:r>
      <w:r>
        <w:t xml:space="preserve">The blended mode could retrieve curated labour-market documents, ESCO occupation descriptions, salary surveys, or role-progression standards before invoking the LLM [25]. This would make recommendations more source-attributed without changing the persistence model or response contracts.</w:t>
      </w:r>
    </w:p>
    <w:p>
      <w:pPr>
        <w:pStyle w:val="BodyText"/>
      </w:pPr>
      <w:r>
        <w:t xml:space="preserve">This direction is the most product-facing one. It addresses the limitation that current recommendations are reasoned from the resume and job description but are not grounded in external labour-market evidence. A retrieval stage would let the system cite recent documents while preserving the existing LLM response shape.</w:t>
      </w:r>
    </w:p>
    <w:p>
      <w:pPr>
        <w:pStyle w:val="BodyText"/>
      </w:pPr>
      <w:r>
        <w:t xml:space="preserve">The retrieval layer would also help with the approved-topic phrase</w:t>
      </w:r>
      <w:r>
        <w:t xml:space="preserve"> </w:t>
      </w:r>
      <w:r>
        <w:t xml:space="preserve">“current job-market trends”</w:t>
      </w:r>
      <w:r>
        <w:t xml:space="preserve">. Instead of asking the LLM to infer market context from its pretraining, the system could retrieve recent, source-attributed evidence and attach it to the recommendation. This would make the trend dimension auditable in a way that the present static job-description comparison is not.</w:t>
      </w:r>
    </w:p>
    <w:p>
      <w:pPr>
        <w:pStyle w:val="BodyText"/>
      </w:pPr>
      <w:r>
        <w:rPr>
          <w:b/>
          <w:bCs/>
        </w:rPr>
        <w:t xml:space="preserve">Redis-backed cache.</w:t>
      </w:r>
      <w:r>
        <w:t xml:space="preserve"> </w:t>
      </w:r>
      <w:r>
        <w:t xml:space="preserve">Replacing the in-memory cache with Redis would allow cache sharing across backend processes and is the smallest operational upgrade once traffic exceeds a single-instance deployment.</w:t>
      </w:r>
    </w:p>
    <w:p>
      <w:pPr>
        <w:pStyle w:val="BodyText"/>
      </w:pPr>
      <w:r>
        <w:t xml:space="preserve">This change would preserve the current cache-key design while moving storage out of process memory. It would also make latency measurements easier to interpret in a scaled deployment because cache hits would not depend on which backend worker received the request.</w:t>
      </w:r>
    </w:p>
    <w:p>
      <w:pPr>
        <w:pStyle w:val="BodyText"/>
      </w:pPr>
      <w:r>
        <w:t xml:space="preserve">Among the four future-work directions, no single ranking holds across all the criteria that would matter. The sentence-transformer intermediate tier is the most technically</w:t>
      </w:r>
      <w:r>
        <w:t xml:space="preserve"> </w:t>
      </w:r>
      <w:r>
        <w:rPr>
          <w:i/>
          <w:iCs/>
        </w:rPr>
        <w:t xml:space="preserve">probed</w:t>
      </w:r>
      <w:r>
        <w:t xml:space="preserve"> </w:t>
      </w:r>
      <w:r>
        <w:t xml:space="preserve">of the four: Stage H of this thesis (Section 4.3.6) implemented an SBERT semantic-fallback layer alongside four other classical-IR enhancements and reported a controlled null on the synthetic evaluation set, with the SBERT-only variant at</w:t>
      </w:r>
      <w:r>
        <w:t xml:space="preserve"> </w:t>
      </w:r>
      <w:r>
        <w:rPr>
          <w:i/>
          <w:iCs/>
        </w:rPr>
        <w:t xml:space="preserve">r</w:t>
      </w:r>
      <w:r>
        <w:t xml:space="preserve"> </w:t>
      </w:r>
      <w:r>
        <w:t xml:space="preserve">= 0.623 (Δ = −0.004) and the full-stack v3 configuration at</w:t>
      </w:r>
      <w:r>
        <w:t xml:space="preserve"> </w:t>
      </w:r>
      <w:r>
        <w:rPr>
          <w:i/>
          <w:iCs/>
        </w:rPr>
        <w:t xml:space="preserve">r</w:t>
      </w:r>
      <w:r>
        <w:t xml:space="preserve"> </w:t>
      </w:r>
      <w: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four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The Redis-backed cache is the smallest of the four in scope and the only one that does not require new research data. Which of the four becomes the next deliverable depends on whether the project continues as a personal study, transitions into a paid product, or feeds into a future Master’s-level extension.</w:t>
      </w:r>
    </w:p>
    <w:p>
      <w:pPr>
        <w:pStyle w:val="BodyText"/>
      </w:pPr>
      <w:r>
        <w:t xml:space="preserve">The thesis contributions are therefore an integrated, deployed system that brings six career tools together around a single resume representation, a defendable strictly-non-neural heuristic baseline, and an empirical characterisation of how that baseline compares to a language-model-augmented mode for the two analytical tools (Resume Analyzer and Job Match)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p>
      <w:pPr>
        <w:pStyle w:val="BodyText"/>
      </w:pPr>
      <w:r>
        <w:t xml:space="preserve">That broader evaluation set would be the natural bridge from a Bachelor-level engineering thesis to a Master’s-level research project. It would allow the same architecture and scoring modes to be tested under less synthetic language variation, with demographic safeguards and real user outcomes added to the evaluation design.</w:t>
      </w:r>
    </w:p>
    <w:bookmarkEnd w:id="117"/>
    <w:bookmarkEnd w:id="118"/>
    <w:bookmarkStart w:id="130" w:name="bibliography"/>
    <w:p>
      <w:pPr>
        <w:pStyle w:val="Heading1"/>
      </w:pPr>
      <w:r>
        <w:t xml:space="preserve">Bibliography</w:t>
      </w:r>
    </w:p>
    <w:bookmarkStart w:id="119" w:name="Xe524d447c5cf25a4d8e2fc35a266a2d3c4bfbe5"/>
    <w:p>
      <w:pPr>
        <w:pStyle w:val="Heading2"/>
      </w:pPr>
      <w:r>
        <w:t xml:space="preserve">1. Foundational AI for organisational decision-making</w:t>
      </w:r>
    </w:p>
    <w:p>
      <w:pPr>
        <w:pStyle w:val="FirstParagraph"/>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pPr>
      <w:r>
        <w:t xml:space="preserve">[3] World Economic Forum,</w:t>
      </w:r>
      <w:r>
        <w:t xml:space="preserve"> </w:t>
      </w:r>
      <w:r>
        <w:rPr>
          <w:i/>
          <w:iCs/>
        </w:rPr>
        <w:t xml:space="preserve">The Future of Jobs Report 2023</w:t>
      </w:r>
      <w:r>
        <w:t xml:space="preserve">. Geneva: WEF, May 2023. https://www.weforum.org/publications/the-future-of-jobs-report-2023/</w:t>
      </w:r>
    </w:p>
    <w:p>
      <w:pPr>
        <w:pStyle w:val="BodyText"/>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19"/>
    <w:bookmarkStart w:id="120" w:name="foundational-information-retrieval"/>
    <w:p>
      <w:pPr>
        <w:pStyle w:val="Heading2"/>
      </w:pPr>
      <w:r>
        <w:t xml:space="preserve">2. Foundational information retrieval</w:t>
      </w:r>
    </w:p>
    <w:p>
      <w:pPr>
        <w:pStyle w:val="FirstParagraph"/>
      </w:pPr>
      <w:r>
        <w:t xml:space="preserve">[5] G. Salton and M. J. McGill,</w:t>
      </w:r>
      <w:r>
        <w:t xml:space="preserve"> </w:t>
      </w:r>
      <w:r>
        <w:rPr>
          <w:i/>
          <w:iCs/>
        </w:rPr>
        <w:t xml:space="preserve">Introduction to modern information retrieval</w:t>
      </w:r>
      <w:r>
        <w:t xml:space="preserve">. New York: McGraw-Hill, 1983.</w:t>
      </w:r>
    </w:p>
    <w:p>
      <w:pPr>
        <w:pStyle w:val="BodyText"/>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20"/>
    <w:bookmarkStart w:id="121" w:name="Xdd898e929631c1ac7dcaafa863450eac8c4687c"/>
    <w:p>
      <w:pPr>
        <w:pStyle w:val="Heading2"/>
      </w:pPr>
      <w:r>
        <w:t xml:space="preserve">3. Skill extraction and labour-market taxonomies (ESCO, O*NET)</w:t>
      </w:r>
    </w:p>
    <w:p>
      <w:pPr>
        <w:pStyle w:val="FirstParagraph"/>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21"/>
    <w:bookmarkStart w:id="122" w:name="X1796bfef32d736987f1174fc0e433d96cea39d8"/>
    <w:p>
      <w:pPr>
        <w:pStyle w:val="Heading2"/>
      </w:pPr>
      <w:r>
        <w:t xml:space="preserve">4. Resume parsing and information extraction</w:t>
      </w:r>
    </w:p>
    <w:p>
      <w:pPr>
        <w:pStyle w:val="FirstParagraph"/>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22"/>
    <w:bookmarkStart w:id="123" w:name="ai-based-career-recommendation-systems"/>
    <w:p>
      <w:pPr>
        <w:pStyle w:val="Heading2"/>
      </w:pPr>
      <w:r>
        <w:t xml:space="preserve">5. AI-based career recommendation systems</w:t>
      </w:r>
    </w:p>
    <w:p>
      <w:pPr>
        <w:pStyle w:val="FirstParagraph"/>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23"/>
    <w:bookmarkStart w:id="124" w:name="large-language-models-in-recruitment"/>
    <w:p>
      <w:pPr>
        <w:pStyle w:val="Heading2"/>
      </w:pPr>
      <w:r>
        <w:t xml:space="preserve">6. Large language models in recruitment</w:t>
      </w:r>
    </w:p>
    <w:p>
      <w:pPr>
        <w:pStyle w:val="FirstParagraph"/>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24"/>
    <w:bookmarkStart w:id="125" w:name="Xe3796102e15fa10b5c24e38851c753906160937"/>
    <w:p>
      <w:pPr>
        <w:pStyle w:val="Heading2"/>
      </w:pPr>
      <w:r>
        <w:t xml:space="preserve">7. Semantic matching and sentence embeddings</w:t>
      </w:r>
    </w:p>
    <w:p>
      <w:pPr>
        <w:pStyle w:val="FirstParagraph"/>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25"/>
    <w:bookmarkStart w:id="126" w:name="bias-and-fairness-in-algorithmic-hiring"/>
    <w:p>
      <w:pPr>
        <w:pStyle w:val="Heading2"/>
      </w:pPr>
      <w:r>
        <w:t xml:space="preserve">8. Bias and fairness in algorithmic hiring</w:t>
      </w:r>
    </w:p>
    <w:p>
      <w:pPr>
        <w:pStyle w:val="FirstParagraph"/>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(FAccT ’20)</w:t>
      </w:r>
      <w:r>
        <w:t xml:space="preserve">, 2020, pp. 469–481. https://doi.org/10.1145/3351095.3372828</w:t>
      </w:r>
    </w:p>
    <w:p>
      <w:pPr>
        <w:pStyle w:val="BodyText"/>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26"/>
    <w:bookmarkStart w:id="127" w:name="retrieval-augmented-generation"/>
    <w:p>
      <w:pPr>
        <w:pStyle w:val="Heading2"/>
      </w:pPr>
      <w:r>
        <w:t xml:space="preserve">9. Retrieval-augmented generation</w:t>
      </w:r>
    </w:p>
    <w:p>
      <w:pPr>
        <w:pStyle w:val="FirstParagraph"/>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27"/>
    <w:bookmarkStart w:id="128" w:name="statistical-and-evaluation-methodology"/>
    <w:p>
      <w:pPr>
        <w:pStyle w:val="Heading2"/>
      </w:pPr>
      <w:r>
        <w:t xml:space="preserve">10. Statistical and evaluation methodology</w:t>
      </w:r>
    </w:p>
    <w:p>
      <w:pPr>
        <w:pStyle w:val="FirstParagraph"/>
      </w:pPr>
      <w:r>
        <w:t xml:space="preserve">[26] J. Cohen,</w:t>
      </w:r>
      <w:r>
        <w:t xml:space="preserve"> </w:t>
      </w:r>
      <w:r>
        <w:rPr>
          <w:i/>
          <w:iCs/>
        </w:rPr>
        <w:t xml:space="preserve">Statistical Power Analysis for the Behavioral Sciences</w:t>
      </w:r>
      <w:r>
        <w:t xml:space="preserve">, 2nd ed. Hillsdale, NJ: Lawrence Erlbaum, 1988.</w:t>
      </w:r>
    </w:p>
    <w:p>
      <w:pPr>
        <w:pStyle w:val="BodyText"/>
      </w:pPr>
      <w:r>
        <w:t xml:space="preserve">[27] T. D. Cook and D. T. Campbell,</w:t>
      </w:r>
      <w:r>
        <w:t xml:space="preserve"> </w:t>
      </w:r>
      <w:r>
        <w:rPr>
          <w:i/>
          <w:iCs/>
        </w:rPr>
        <w:t xml:space="preserve">Quasi-Experimentation: Design and Analysis Issues for Field Settings</w:t>
      </w:r>
      <w:r>
        <w:t xml:space="preserve">. Boston, MA: Houghton Mifflin, 1979.</w:t>
      </w:r>
    </w:p>
    <w:p>
      <w:pPr>
        <w:pStyle w:val="BodyText"/>
      </w:pPr>
      <w:r>
        <w:t xml:space="preserve">[28] A. C. Cameron, J. B. Gelbach, and D. L. Miller,</w:t>
      </w:r>
      <w:r>
        <w:t xml:space="preserve"> </w:t>
      </w:r>
      <w:r>
        <w:t xml:space="preserve">“Bootstrap-based improvements for inference with clustered errors,”</w:t>
      </w:r>
      <w:r>
        <w:t xml:space="preserve"> </w:t>
      </w:r>
      <w:r>
        <w:rPr>
          <w:i/>
          <w:iCs/>
        </w:rPr>
        <w:t xml:space="preserve">The Review of Economics and Statistics</w:t>
      </w:r>
      <w:r>
        <w:t xml:space="preserve">, vol. 90, no. 3, pp. 414–427, 2008. https://doi.org/10.1162/rest.90.3.414</w:t>
      </w:r>
    </w:p>
    <w:p>
      <w:pPr>
        <w:pStyle w:val="BodyText"/>
      </w:pPr>
      <w:r>
        <w:t xml:space="preserve">[29] L. Zheng, W.-L. Chiang, Y. Sheng, S. Zhuang, Z. Wu, Y. Zhuang, Z. Lin, Z. Li, D. Li, E. P. Xing, H. Zhang, J. E. Gonzalez, and I. Stoica,</w:t>
      </w:r>
      <w:r>
        <w:t xml:space="preserve"> </w:t>
      </w:r>
      <w:r>
        <w:t xml:space="preserve">“Judging LLM-as-a-Judge with MT-Bench and Chatbot Arena,”</w:t>
      </w:r>
      <w:r>
        <w:t xml:space="preserve"> </w:t>
      </w:r>
      <w:r>
        <w:t xml:space="preserve">in</w:t>
      </w:r>
      <w:r>
        <w:t xml:space="preserve"> </w:t>
      </w:r>
      <w:r>
        <w:rPr>
          <w:i/>
          <w:iCs/>
        </w:rPr>
        <w:t xml:space="preserve">Advances in Neural Information Processing Systems</w:t>
      </w:r>
      <w:r>
        <w:t xml:space="preserve">, vol. 36, 2023. https://arxiv.org/abs/2306.05685</w:t>
      </w:r>
    </w:p>
    <w:bookmarkEnd w:id="128"/>
    <w:bookmarkStart w:id="129" w:name="web-frameworks-and-system-tooling"/>
    <w:p>
      <w:pPr>
        <w:pStyle w:val="Heading2"/>
      </w:pPr>
      <w:r>
        <w:t xml:space="preserve">11. Web frameworks and system tooling</w:t>
      </w:r>
    </w:p>
    <w:p>
      <w:pPr>
        <w:pStyle w:val="FirstParagraph"/>
      </w:pPr>
      <w:r>
        <w:t xml:space="preserve">Documentation references for the engineering chapters; kept separate from the numbered academic bibliography because they document implementation APIs rather than research claims.</w:t>
      </w:r>
    </w:p>
    <w:p>
      <w:pPr>
        <w:pStyle w:val="Compact"/>
        <w:numPr>
          <w:ilvl w:val="0"/>
          <w:numId w:val="1007"/>
        </w:numPr>
      </w:pPr>
      <w:r>
        <w:t xml:space="preserve">FastAPI documentation. https://fastapi.tiangolo.com</w:t>
      </w:r>
    </w:p>
    <w:p>
      <w:pPr>
        <w:pStyle w:val="Compact"/>
        <w:numPr>
          <w:ilvl w:val="0"/>
          <w:numId w:val="1007"/>
        </w:numPr>
      </w:pPr>
      <w:r>
        <w:t xml:space="preserve">TanStack Start / Router documentation. https://tanstack.com/router</w:t>
      </w:r>
    </w:p>
    <w:p>
      <w:pPr>
        <w:pStyle w:val="Compact"/>
        <w:numPr>
          <w:ilvl w:val="0"/>
          <w:numId w:val="1007"/>
        </w:numPr>
      </w:pPr>
      <w:r>
        <w:t xml:space="preserve">React 19 documentation. https://react.dev</w:t>
      </w:r>
    </w:p>
    <w:p>
      <w:pPr>
        <w:pStyle w:val="Compact"/>
        <w:numPr>
          <w:ilvl w:val="0"/>
          <w:numId w:val="1007"/>
        </w:numPr>
      </w:pPr>
      <w:r>
        <w:t xml:space="preserve">Vite documentation. https://vite.dev</w:t>
      </w:r>
    </w:p>
    <w:p>
      <w:pPr>
        <w:pStyle w:val="Compact"/>
        <w:numPr>
          <w:ilvl w:val="0"/>
          <w:numId w:val="1007"/>
        </w:numPr>
      </w:pPr>
      <w:r>
        <w:t xml:space="preserve">SQLAlchemy 2.0 documentation. https://www.sqlalchemy.org</w:t>
      </w:r>
    </w:p>
    <w:p>
      <w:pPr>
        <w:pStyle w:val="Compact"/>
        <w:numPr>
          <w:ilvl w:val="0"/>
          <w:numId w:val="1007"/>
        </w:numPr>
      </w:pPr>
      <w:r>
        <w:t xml:space="preserve">Alembic migration documentation. https://alembic.sqlalchemy.org</w:t>
      </w:r>
    </w:p>
    <w:p>
      <w:pPr>
        <w:pStyle w:val="Compact"/>
        <w:numPr>
          <w:ilvl w:val="0"/>
          <w:numId w:val="1007"/>
        </w:numPr>
      </w:pPr>
      <w:r>
        <w:t xml:space="preserve">PostgreSQL documentation. https://www.postgresql.org/docs/</w:t>
      </w:r>
    </w:p>
    <w:p>
      <w:pPr>
        <w:pStyle w:val="Compact"/>
        <w:numPr>
          <w:ilvl w:val="0"/>
          <w:numId w:val="1007"/>
        </w:numPr>
      </w:pPr>
      <w:r>
        <w:t xml:space="preserve">Google Cloud Vertex AI Gemini documentation. https://cloud.google.com/vertex-ai/generative-ai/docs</w:t>
      </w:r>
    </w:p>
    <w:p>
      <w:pPr>
        <w:pStyle w:val="Compact"/>
        <w:numPr>
          <w:ilvl w:val="0"/>
          <w:numId w:val="1007"/>
        </w:numPr>
      </w:pPr>
      <w:r>
        <w:t xml:space="preserve">Resend transactional email API. https://resend.com/docs</w:t>
      </w:r>
    </w:p>
    <w:bookmarkEnd w:id="129"/>
    <w:bookmarkEnd w:id="130"/>
    <w:bookmarkStart w:id="162" w:name="appendices"/>
    <w:p>
      <w:pPr>
        <w:pStyle w:val="Heading1"/>
      </w:pPr>
      <w:r>
        <w:t xml:space="preserve">Appendices</w:t>
      </w:r>
    </w:p>
    <w:bookmarkStart w:id="135" w:name="appendix-a-source-listings"/>
    <w:p>
      <w:pPr>
        <w:pStyle w:val="Heading2"/>
      </w:pPr>
      <w: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31" w:name="X815009366af60fa4723a257df1c3cfaaf97a2fb"/>
    <w:p>
      <w:pPr>
        <w:pStyle w:val="Heading3"/>
      </w:pPr>
      <w: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31"/>
    <w:bookmarkStart w:id="132" w:name="a.2-bm25-scoring"/>
    <w:p>
      <w:pPr>
        <w:pStyle w:val="Heading3"/>
      </w:pPr>
      <w: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32"/>
    <w:bookmarkStart w:id="133" w:name="a.3-runtime-mode-toggle"/>
    <w:p>
      <w:pPr>
        <w:pStyle w:val="Heading3"/>
      </w:pPr>
      <w: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33"/>
    <w:bookmarkStart w:id="134" w:name="a.4-shared-tool-pipeline"/>
    <w:p>
      <w:pPr>
        <w:pStyle w:val="Heading3"/>
      </w:pPr>
      <w: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34"/>
    <w:bookmarkEnd w:id="135"/>
    <w:bookmarkStart w:id="140" w:name="Xe2691035b1ea9be44987f1df6fe865ef1936dcd"/>
    <w:p>
      <w:pPr>
        <w:pStyle w:val="Heading2"/>
      </w:pPr>
      <w: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36" w:name="b.1-resume-synthesis-procedure"/>
    <w:p>
      <w:pPr>
        <w:pStyle w:val="Heading3"/>
      </w:pPr>
      <w: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36"/>
    <w:bookmarkStart w:id="137" w:name="b.2-job-description-synthesis-procedure"/>
    <w:p>
      <w:pPr>
        <w:pStyle w:val="Heading3"/>
      </w:pPr>
      <w: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37"/>
    <w:bookmarkStart w:id="138" w:name="b.3-pair-construction"/>
    <w:p>
      <w:pPr>
        <w:pStyle w:val="Heading3"/>
      </w:pPr>
      <w: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38"/>
    <w:bookmarkStart w:id="139" w:name="b.4-pair-manifest"/>
    <w:p>
      <w:pPr>
        <w:pStyle w:val="Heading3"/>
      </w:pPr>
      <w: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39"/>
    <w:bookmarkEnd w:id="140"/>
    <w:bookmarkStart w:id="157" w:name="Xa5e1eb6ef87c5a83e8c05d91d91fb5c96834f8e"/>
    <w:p>
      <w:pPr>
        <w:pStyle w:val="Heading2"/>
      </w:pPr>
      <w: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44" w:name="c.1-landing-page"/>
    <w:p>
      <w:pPr>
        <w:pStyle w:val="Heading3"/>
      </w:pPr>
      <w:r>
        <w:t xml:space="preserve">C.1 Landing page</w:t>
      </w:r>
    </w:p>
    <w:p>
      <w:pPr>
        <w:pStyle w:val="FirstParagraph"/>
      </w:pPr>
      <w:r>
        <w:drawing>
          <wp:inline>
            <wp:extent cx="5727700" cy="3221831"/>
            <wp:effectExtent b="0" l="0" r="0" t="0"/>
            <wp:docPr descr="" title="" id="142" name="Picture"/>
            <a:graphic>
              <a:graphicData uri="http://schemas.openxmlformats.org/drawingml/2006/picture">
                <pic:pic>
                  <pic:nvPicPr>
                    <pic:cNvPr descr="figures/ui-01-landing.png" id="143" name="Picture"/>
                    <pic:cNvPicPr>
                      <a:picLocks noChangeArrowheads="1" noChangeAspect="1"/>
                    </pic:cNvPicPr>
                  </pic:nvPicPr>
                  <pic:blipFill>
                    <a:blip r:embed="rId141"/>
                    <a:stretch>
                      <a:fillRect/>
                    </a:stretch>
                  </pic:blipFill>
                  <pic:spPr bwMode="auto">
                    <a:xfrm>
                      <a:off x="0" y="0"/>
                      <a:ext cx="5727700" cy="3221831"/>
                    </a:xfrm>
                    <a:prstGeom prst="rect">
                      <a:avLst/>
                    </a:prstGeom>
                    <a:noFill/>
                    <a:ln w="9525">
                      <a:noFill/>
                      <a:headEnd/>
                      <a:tailEnd/>
                    </a:ln>
                  </pic:spPr>
                </pic:pic>
              </a:graphicData>
            </a:graphic>
          </wp:inline>
        </w:drawing>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44"/>
    <w:bookmarkStart w:id="148" w:name="c.2-resume-analyzer-input-page"/>
    <w:p>
      <w:pPr>
        <w:pStyle w:val="Heading3"/>
      </w:pPr>
      <w:r>
        <w:t xml:space="preserve">C.2 Resume Analyzer input page</w:t>
      </w:r>
    </w:p>
    <w:p>
      <w:pPr>
        <w:pStyle w:val="FirstParagraph"/>
      </w:pPr>
      <w:r>
        <w:drawing>
          <wp:inline>
            <wp:extent cx="5727700" cy="3221831"/>
            <wp:effectExtent b="0" l="0" r="0" t="0"/>
            <wp:docPr descr="" title="" id="146" name="Picture"/>
            <a:graphic>
              <a:graphicData uri="http://schemas.openxmlformats.org/drawingml/2006/picture">
                <pic:pic>
                  <pic:nvPicPr>
                    <pic:cNvPr descr="figures/ui-03-resume-input.png" id="147" name="Picture"/>
                    <pic:cNvPicPr>
                      <a:picLocks noChangeArrowheads="1" noChangeAspect="1"/>
                    </pic:cNvPicPr>
                  </pic:nvPicPr>
                  <pic:blipFill>
                    <a:blip r:embed="rId145"/>
                    <a:stretch>
                      <a:fillRect/>
                    </a:stretch>
                  </pic:blipFill>
                  <pic:spPr bwMode="auto">
                    <a:xfrm>
                      <a:off x="0" y="0"/>
                      <a:ext cx="5727700" cy="3221831"/>
                    </a:xfrm>
                    <a:prstGeom prst="rect">
                      <a:avLst/>
                    </a:prstGeom>
                    <a:noFill/>
                    <a:ln w="9525">
                      <a:noFill/>
                      <a:headEnd/>
                      <a:tailEnd/>
                    </a:ln>
                  </pic:spPr>
                </pic:pic>
              </a:graphicData>
            </a:graphic>
          </wp:inline>
        </w:drawing>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48"/>
    <w:bookmarkStart w:id="152" w:name="Xe92b625608c320df0d0e71eef401fce0fea85fc"/>
    <w:p>
      <w:pPr>
        <w:pStyle w:val="Heading3"/>
      </w:pPr>
      <w:r>
        <w:t xml:space="preserve">C.3 Resume Analyzer result page (blended mode)</w:t>
      </w:r>
    </w:p>
    <w:p>
      <w:pPr>
        <w:pStyle w:val="FirstParagraph"/>
      </w:pPr>
      <w:r>
        <w:drawing>
          <wp:inline>
            <wp:extent cx="5727700" cy="6437696"/>
            <wp:effectExtent b="0" l="0" r="0" t="0"/>
            <wp:docPr descr="" title="" id="150" name="Picture"/>
            <a:graphic>
              <a:graphicData uri="http://schemas.openxmlformats.org/drawingml/2006/picture">
                <pic:pic>
                  <pic:nvPicPr>
                    <pic:cNvPr descr="figures/ui-04-resume-result.png" id="151" name="Picture"/>
                    <pic:cNvPicPr>
                      <a:picLocks noChangeArrowheads="1" noChangeAspect="1"/>
                    </pic:cNvPicPr>
                  </pic:nvPicPr>
                  <pic:blipFill>
                    <a:blip r:embed="rId149"/>
                    <a:stretch>
                      <a:fillRect/>
                    </a:stretch>
                  </pic:blipFill>
                  <pic:spPr bwMode="auto">
                    <a:xfrm>
                      <a:off x="0" y="0"/>
                      <a:ext cx="5727700" cy="6437696"/>
                    </a:xfrm>
                    <a:prstGeom prst="rect">
                      <a:avLst/>
                    </a:prstGeom>
                    <a:noFill/>
                    <a:ln w="9525">
                      <a:noFill/>
                      <a:headEnd/>
                      <a:tailEnd/>
                    </a:ln>
                  </pic:spPr>
                </pic:pic>
              </a:graphicData>
            </a:graphic>
          </wp:inline>
        </w:drawing>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52"/>
    <w:bookmarkStart w:id="156" w:name="c.4-job-match-result-page"/>
    <w:p>
      <w:pPr>
        <w:pStyle w:val="Heading3"/>
      </w:pPr>
      <w:r>
        <w:t xml:space="preserve">C.4 Job Match result page</w:t>
      </w:r>
    </w:p>
    <w:p>
      <w:pPr>
        <w:pStyle w:val="FirstParagraph"/>
      </w:pPr>
      <w:r>
        <w:drawing>
          <wp:inline>
            <wp:extent cx="5727700" cy="7842772"/>
            <wp:effectExtent b="0" l="0" r="0" t="0"/>
            <wp:docPr descr="" title="" id="154" name="Picture"/>
            <a:graphic>
              <a:graphicData uri="http://schemas.openxmlformats.org/drawingml/2006/picture">
                <pic:pic>
                  <pic:nvPicPr>
                    <pic:cNvPr descr="figures/ui-05-job-match-result.png" id="155" name="Picture"/>
                    <pic:cNvPicPr>
                      <a:picLocks noChangeArrowheads="1" noChangeAspect="1"/>
                    </pic:cNvPicPr>
                  </pic:nvPicPr>
                  <pic:blipFill>
                    <a:blip r:embed="rId153"/>
                    <a:stretch>
                      <a:fillRect/>
                    </a:stretch>
                  </pic:blipFill>
                  <pic:spPr bwMode="auto">
                    <a:xfrm>
                      <a:off x="0" y="0"/>
                      <a:ext cx="5727700" cy="7842772"/>
                    </a:xfrm>
                    <a:prstGeom prst="rect">
                      <a:avLst/>
                    </a:prstGeom>
                    <a:noFill/>
                    <a:ln w="9525">
                      <a:noFill/>
                      <a:headEnd/>
                      <a:tailEnd/>
                    </a:ln>
                  </pic:spPr>
                </pic:pic>
              </a:graphicData>
            </a:graphic>
          </wp:inline>
        </w:drawing>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56"/>
    <w:bookmarkEnd w:id="157"/>
    <w:bookmarkStart w:id="161" w:name="appendix-d-configuration-reference"/>
    <w:p>
      <w:pPr>
        <w:pStyle w:val="Heading2"/>
      </w:pPr>
      <w:r>
        <w:t xml:space="preserve">Appendix D — Configuration reference</w:t>
      </w:r>
    </w:p>
    <w:bookmarkStart w:id="158" w:name="d.1-backend-environment-variables"/>
    <w:p>
      <w:pPr>
        <w:pStyle w:val="Heading3"/>
      </w:pPr>
      <w: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58"/>
    <w:bookmarkStart w:id="159" w:name="d.2-administrative-endpoints"/>
    <w:p>
      <w:pPr>
        <w:pStyle w:val="Heading3"/>
      </w:pPr>
      <w: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8"/>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8"/>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returned by both endpoints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59"/>
    <w:bookmarkStart w:id="160" w:name="d.3-running-the-evaluation-harness"/>
    <w:p>
      <w:pPr>
        <w:pStyle w:val="Heading3"/>
      </w:pPr>
      <w:r>
        <w:t xml:space="preserve">D.3 Running the evaluation harness</w:t>
      </w:r>
    </w:p>
    <w:p>
      <w:pPr>
        <w:pStyle w:val="FirstParagraph"/>
      </w:pPr>
      <w:r>
        <w:t xml:space="preserve">The evaluation run used the following commands at the repository root:</w:t>
      </w:r>
    </w:p>
    <w:p>
      <w:pPr>
        <w:pStyle w:val="SourceCode"/>
      </w:pPr>
      <w:r>
        <w:rPr>
          <w:rStyle w:val="ExtensionTok"/>
        </w:rPr>
        <w:t xml:space="preserve">$</w:t>
      </w:r>
      <w:r>
        <w:rPr>
          <w:rStyle w:val="NormalTok"/>
        </w:rPr>
        <w:t xml:space="preserve"> cd backend</w:t>
      </w:r>
      <w:r>
        <w:br/>
      </w:r>
      <w:r>
        <w:rPr>
          <w:rStyle w:val="ExtensionTok"/>
        </w:rPr>
        <w:t xml:space="preserve">$</w:t>
      </w:r>
      <w:r>
        <w:rPr>
          <w:rStyle w:val="NormalTok"/>
        </w:rPr>
        <w:t xml:space="preserve"> SCORING_MODE=blended RESULT_CACHE_ENABLED=false </w:t>
      </w:r>
      <w:r>
        <w:rPr>
          <w:rStyle w:val="DataTypeTok"/>
        </w:rPr>
        <w:t xml:space="preserve">\</w:t>
      </w:r>
      <w:r>
        <w:br/>
      </w:r>
      <w:r>
        <w:rPr>
          <w:rStyle w:val="NormalTok"/>
        </w:rPr>
        <w:t xml:space="preserve">    python ../scripts/eval_scoring.py</w:t>
      </w:r>
      <w:r>
        <w:br/>
      </w:r>
      <w:r>
        <w:rPr>
          <w:rStyle w:val="ExtensionTok"/>
        </w:rPr>
        <w:t xml:space="preserve">$</w:t>
      </w:r>
      <w:r>
        <w:rPr>
          <w:rStyle w:val="NormalTok"/>
        </w:rPr>
        <w:t xml:space="preserve"> python ../scripts/analyze_eval_results.py</w:t>
      </w:r>
    </w:p>
    <w:p>
      <w:pPr>
        <w:pStyle w:val="FirstParagraph"/>
      </w:pPr>
      <w:r>
        <w:t xml:space="preserve">The harness writes</w:t>
      </w:r>
      <w:r>
        <w:t xml:space="preserve"> </w:t>
      </w:r>
      <w:r>
        <w:rPr>
          <w:rStyle w:val="VerbatimChar"/>
        </w:rPr>
        <w:t xml:space="preserve">thesis/eval-results.json</w:t>
      </w:r>
      <w:r>
        <w:t xml:space="preserve">; the analyzer emits the Markdown-formatted result tables reported in Chapter 4.3.</w:t>
      </w:r>
    </w:p>
    <w:bookmarkEnd w:id="160"/>
    <w:bookmarkEnd w:id="161"/>
    <w:bookmarkEnd w:id="162"/>
    <w:sectPr>
      <w:headerReference r:id="rId7" w:type="first"/>
      <w:footerReference r:id="rId10" w:type="first"/>
      <w:headerReference r:id="rId5" w:type="default"/>
      <w:footerReference r:id="rId8" w:type="default"/>
      <w:headerReference r:id="rId6" w:type="even"/>
      <w:footerReference r:id="rId9" w:type="even"/>
      <w:pgSz w:h="16838" w:w="11906"/>
      <w:pgMar w:bottom="1440" w:footer="708" w:gutter="0" w:header="708" w:left="1440" w:right="1440" w:top="1440"/>
      <w:cols w:num="1" w:space="708"/>
      <w:titlePg/>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E7E51">
    <w:pPr>
      <w:pStyle w:val="4"/>
      <w:jc w:val="center"/>
    </w:pPr>
    <w:r>
      <w:fldChar w:fldCharType="begin"/>
    </w:r>
    <w:r>
      <w:instrText xml:space="preserve">PAGE</w:instrText>
    </w:r>
    <w:r>
      <w:fldChar w:fldCharType="separate"/>
    </w:r>
    <w:r>
      <w:t>2</w:t>
    </w:r>
    <w:r>
      <w:fldChar w:fldCharType="end"/>
    </w:r>
  </w:p>
  <w:p w14:paraId="7B33CEC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autofit"/>
      <w:tblCellMar>
        <w:top w:w="0" w:type="dxa"/>
        <w:left w:w="108" w:type="dxa"/>
        <w:bottom w:w="0" w:type="dxa"/>
        <w:right w:w="108" w:type="dxa"/>
      </w:tblCellMar>
    </w:tblPr>
    <w:tblGrid>
      <w:gridCol w:w="3005"/>
      <w:gridCol w:w="3005"/>
      <w:gridCol w:w="3005"/>
    </w:tblGrid>
    <w:tr w14:paraId="44231AEB">
      <w:tblPrEx>
        <w:tblCellMar>
          <w:top w:w="0" w:type="dxa"/>
          <w:left w:w="108" w:type="dxa"/>
          <w:bottom w:w="0" w:type="dxa"/>
          <w:right w:w="108" w:type="dxa"/>
        </w:tblCellMar>
      </w:tblPrEx>
      <w:trPr>
        <w:trHeight w:val="300" w:hRule="atLeast"/>
      </w:trPr>
      <w:tc>
        <w:tcPr>
          <w:tcW w:w="3005" w:type="dxa"/>
        </w:tcPr>
        <w:p w14:paraId="076AB2CC">
          <w:pPr>
            <w:pStyle w:val="5"/>
            <w:ind w:left="-115"/>
          </w:pPr>
        </w:p>
      </w:tc>
      <w:tc>
        <w:tcPr>
          <w:tcW w:w="3005" w:type="dxa"/>
        </w:tcPr>
        <w:p w14:paraId="2C4394B9">
          <w:pPr>
            <w:pStyle w:val="5"/>
            <w:jc w:val="center"/>
          </w:pPr>
        </w:p>
      </w:tc>
      <w:tc>
        <w:tcPr>
          <w:tcW w:w="3005" w:type="dxa"/>
        </w:tcPr>
        <w:p w14:paraId="19BF53E0">
          <w:pPr>
            <w:pStyle w:val="5"/>
            <w:ind w:right="-115"/>
            <w:jc w:val="right"/>
          </w:pPr>
        </w:p>
      </w:tc>
    </w:tr>
  </w:tbl>
  <w:p w14:paraId="011BAC5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autofit"/>
      <w:tblCellMar>
        <w:top w:w="0" w:type="dxa"/>
        <w:left w:w="108" w:type="dxa"/>
        <w:bottom w:w="0" w:type="dxa"/>
        <w:right w:w="108" w:type="dxa"/>
      </w:tblCellMar>
    </w:tblPr>
    <w:tblGrid>
      <w:gridCol w:w="9114"/>
    </w:tblGrid>
    <w:tr w14:paraId="4A1A88B5">
      <w:tblPrEx>
        <w:tblCellMar>
          <w:top w:w="0" w:type="dxa"/>
          <w:left w:w="108" w:type="dxa"/>
          <w:bottom w:w="0" w:type="dxa"/>
          <w:right w:w="108" w:type="dxa"/>
        </w:tblCellMar>
      </w:tblPrEx>
      <w:trPr>
        <w:trHeight w:val="300" w:hRule="atLeast"/>
      </w:trPr>
      <w:tc>
        <w:tcPr>
          <w:tcW w:w="9114" w:type="dxa"/>
          <w:tcBorders>
            <w:top w:val="single" w:color="000000" w:themeColor="text1" w:sz="12" w:space="0"/>
          </w:tcBorders>
        </w:tcPr>
        <w:p w14:paraId="42012311">
          <w:pPr>
            <w:pStyle w:val="5"/>
            <w:ind w:left="-115"/>
            <w:jc w:val="center"/>
            <w:rPr>
              <w:rFonts w:ascii="Times New Roman" w:hAnsi="Times New Roman" w:eastAsia="Times New Roman" w:cs="Times New Roman"/>
              <w:sz w:val="36"/>
              <w:szCs w:val="36"/>
            </w:rPr>
          </w:pPr>
          <w:r>
            <w:br w:type="textWrapping"/>
          </w:r>
          <w:r>
            <w:rPr>
              <w:rFonts w:ascii="Times New Roman" w:hAnsi="Times New Roman" w:eastAsia="Times New Roman" w:cs="Times New Roman"/>
              <w:sz w:val="36"/>
              <w:szCs w:val="36"/>
            </w:rPr>
            <w:t>WROCŁAW 2025</w:t>
          </w:r>
        </w:p>
      </w:tc>
    </w:tr>
  </w:tbl>
  <w:p w14:paraId="6205A183">
    <w:pPr>
      <w:pStyle w:val="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1DB72">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autofit"/>
      <w:tblCellMar>
        <w:top w:w="0" w:type="dxa"/>
        <w:left w:w="108" w:type="dxa"/>
        <w:bottom w:w="0" w:type="dxa"/>
        <w:right w:w="108" w:type="dxa"/>
      </w:tblCellMar>
    </w:tblPr>
    <w:tblGrid>
      <w:gridCol w:w="3005"/>
      <w:gridCol w:w="3005"/>
      <w:gridCol w:w="3005"/>
    </w:tblGrid>
    <w:tr w14:paraId="310B6BCB">
      <w:tblPrEx>
        <w:tblCellMar>
          <w:top w:w="0" w:type="dxa"/>
          <w:left w:w="108" w:type="dxa"/>
          <w:bottom w:w="0" w:type="dxa"/>
          <w:right w:w="108" w:type="dxa"/>
        </w:tblCellMar>
      </w:tblPrEx>
      <w:trPr>
        <w:trHeight w:val="300" w:hRule="atLeast"/>
      </w:trPr>
      <w:tc>
        <w:tcPr>
          <w:tcW w:w="3005" w:type="dxa"/>
        </w:tcPr>
        <w:p w14:paraId="008ABC5A">
          <w:pPr>
            <w:pStyle w:val="5"/>
            <w:ind w:left="-115"/>
          </w:pPr>
        </w:p>
      </w:tc>
      <w:tc>
        <w:tcPr>
          <w:tcW w:w="3005" w:type="dxa"/>
        </w:tcPr>
        <w:p w14:paraId="5F967E7B">
          <w:pPr>
            <w:pStyle w:val="5"/>
            <w:jc w:val="center"/>
          </w:pPr>
        </w:p>
      </w:tc>
      <w:tc>
        <w:tcPr>
          <w:tcW w:w="3005" w:type="dxa"/>
        </w:tcPr>
        <w:p w14:paraId="09D66C0B">
          <w:pPr>
            <w:pStyle w:val="5"/>
            <w:ind w:right="-115"/>
            <w:jc w:val="right"/>
          </w:pPr>
        </w:p>
      </w:tc>
    </w:tr>
  </w:tbl>
  <w:p w14:paraId="105750B5">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autofit"/>
      <w:tblCellMar>
        <w:top w:w="0" w:type="dxa"/>
        <w:left w:w="108" w:type="dxa"/>
        <w:bottom w:w="0" w:type="dxa"/>
        <w:right w:w="108" w:type="dxa"/>
      </w:tblCellMar>
    </w:tblPr>
    <w:tblGrid>
      <w:gridCol w:w="9124"/>
    </w:tblGrid>
    <w:tr w14:paraId="3329BE02">
      <w:tblPrEx>
        <w:tblCellMar>
          <w:top w:w="0" w:type="dxa"/>
          <w:left w:w="108" w:type="dxa"/>
          <w:bottom w:w="0" w:type="dxa"/>
          <w:right w:w="108" w:type="dxa"/>
        </w:tblCellMar>
      </w:tblPrEx>
      <w:trPr>
        <w:trHeight w:val="300" w:hRule="atLeast"/>
      </w:trPr>
      <w:tc>
        <w:tcPr>
          <w:tcW w:w="9124" w:type="dxa"/>
          <w:tcBorders>
            <w:bottom w:val="single" w:color="000000" w:themeColor="text1" w:sz="12" w:space="0"/>
          </w:tcBorders>
        </w:tcPr>
        <w:p w14:paraId="72C8ACEA">
          <w:pPr>
            <w:pStyle w:val="5"/>
            <w:ind w:left="-115"/>
            <w:jc w:val="center"/>
            <w:rPr>
              <w:lang w:val="en-GB"/>
            </w:rPr>
          </w:pPr>
          <w:r>
            <w:rPr>
              <w:rFonts w:ascii="Times New Roman" w:hAnsi="Times New Roman" w:eastAsia="Times New Roman" w:cs="Times New Roman"/>
              <w:b/>
              <w:bCs/>
              <w:sz w:val="40"/>
              <w:szCs w:val="40"/>
              <w:lang w:val="en-GB"/>
            </w:rPr>
            <w:t>Wrocław University of Science and Technology</w:t>
          </w:r>
        </w:p>
        <w:p w14:paraId="12EB6FC2">
          <w:pPr>
            <w:pStyle w:val="5"/>
            <w:ind w:left="-115"/>
            <w:jc w:val="center"/>
            <w:rPr>
              <w:rFonts w:ascii="Times New Roman" w:hAnsi="Times New Roman" w:eastAsia="Times New Roman" w:cs="Times New Roman"/>
              <w:sz w:val="28"/>
              <w:szCs w:val="28"/>
              <w:lang w:val="en-GB"/>
            </w:rPr>
          </w:pPr>
          <w:r>
            <w:rPr>
              <w:rFonts w:ascii="Times New Roman" w:hAnsi="Times New Roman" w:eastAsia="Times New Roman" w:cs="Times New Roman"/>
              <w:sz w:val="36"/>
              <w:szCs w:val="36"/>
              <w:lang w:val="en-GB"/>
            </w:rPr>
            <w:t>Faculty of Electronics, Photonics and Microsystems</w:t>
          </w:r>
          <w:r>
            <w:rPr>
              <w:lang w:val="en-GB"/>
            </w:rPr>
            <w:br w:type="textWrapping"/>
          </w:r>
        </w:p>
      </w:tc>
    </w:tr>
  </w:tbl>
  <w:p w14:paraId="18963C7D">
    <w:pPr>
      <w:pStyle w:val="5"/>
      <w:rPr>
        <w:lang w:val="en-GB"/>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ocumentProtection w:enforcement="0"/>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69D9B3"/>
    <w:rsid w:val="00075F6C"/>
    <w:rsid w:val="00435E76"/>
    <w:rsid w:val="00F201A3"/>
    <w:rsid w:val="018A6FEB"/>
    <w:rsid w:val="01DC5DC3"/>
    <w:rsid w:val="028575F3"/>
    <w:rsid w:val="0569D9B3"/>
    <w:rsid w:val="05A349E6"/>
    <w:rsid w:val="0A835671"/>
    <w:rsid w:val="0DF89892"/>
    <w:rsid w:val="0EEC98AA"/>
    <w:rsid w:val="0F4D5652"/>
    <w:rsid w:val="12BCCC6B"/>
    <w:rsid w:val="1399E2C6"/>
    <w:rsid w:val="18D01BC3"/>
    <w:rsid w:val="1A61CC50"/>
    <w:rsid w:val="1DF1AA64"/>
    <w:rsid w:val="1E1EFB09"/>
    <w:rsid w:val="20A45EB0"/>
    <w:rsid w:val="22EEFD7C"/>
    <w:rsid w:val="2486B915"/>
    <w:rsid w:val="250F2826"/>
    <w:rsid w:val="27BF8ABD"/>
    <w:rsid w:val="289EA417"/>
    <w:rsid w:val="2B1075E3"/>
    <w:rsid w:val="2C29DD60"/>
    <w:rsid w:val="2EC65E9D"/>
    <w:rsid w:val="2ECB9038"/>
    <w:rsid w:val="31571C40"/>
    <w:rsid w:val="320C9788"/>
    <w:rsid w:val="329C7A58"/>
    <w:rsid w:val="329CAFA7"/>
    <w:rsid w:val="32FD5C19"/>
    <w:rsid w:val="345A88CA"/>
    <w:rsid w:val="346F12A4"/>
    <w:rsid w:val="361FF440"/>
    <w:rsid w:val="3665FDDA"/>
    <w:rsid w:val="36E260DA"/>
    <w:rsid w:val="3749D9BE"/>
    <w:rsid w:val="3AE27288"/>
    <w:rsid w:val="406103BC"/>
    <w:rsid w:val="424D4F61"/>
    <w:rsid w:val="470D559E"/>
    <w:rsid w:val="47420A22"/>
    <w:rsid w:val="49130441"/>
    <w:rsid w:val="4B894323"/>
    <w:rsid w:val="4DDF9E96"/>
    <w:rsid w:val="5505EBC2"/>
    <w:rsid w:val="598E4F7F"/>
    <w:rsid w:val="5B6926C9"/>
    <w:rsid w:val="5C71AAA3"/>
    <w:rsid w:val="632CBB6E"/>
    <w:rsid w:val="6572324E"/>
    <w:rsid w:val="670E9C93"/>
    <w:rsid w:val="68F8DC06"/>
    <w:rsid w:val="6A7B3857"/>
    <w:rsid w:val="6BC3525C"/>
    <w:rsid w:val="6C7D8B00"/>
    <w:rsid w:val="6E6C42C3"/>
    <w:rsid w:val="6F2B6B9A"/>
    <w:rsid w:val="768A63AA"/>
    <w:rsid w:val="76F83292"/>
    <w:rsid w:val="7F020218"/>
  </w:rsids>
  <w:themeFontLang w:eastAsia="zh-CN" w:val="pl-P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semiHidden="0" w:uiPriority="99" w:unhideWhenUsed="0"/>
    <w:lsdException w:name="Table Web 1" w:uiPriority="99"/>
    <w:lsdException w:name="Table Web 2" w:uiPriority="99"/>
    <w:lsdException w:name="Table Web 3" w:semiHidden="0" w:uiPriority="99" w:unhideWhenUsed="0"/>
    <w:lsdException w:name="Balloon Text" w:uiPriority="99"/>
    <w:lsdException w:name="Table Grid" w:qFormat="1" w:semiHidden="0" w:uiPriority="5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79" w:lineRule="auto"/>
    </w:pPr>
    <w:rPr>
      <w:rFonts w:asciiTheme="minorHAnsi" w:cstheme="minorBidi" w:eastAsiaTheme="minorHAnsi" w:hAnsiTheme="minorHAnsi"/>
      <w:sz w:val="24"/>
      <w:szCs w:val="24"/>
      <w:lang w:bidi="ar-SA" w:eastAsia="en-US" w:val="pl-PL"/>
    </w:rPr>
  </w:style>
  <w:style w:default="1" w:styleId="2" w:type="character">
    <w:name w:val="Default Paragraph Font"/>
    <w:semiHidden/>
    <w:unhideWhenUsed/>
    <w:qFormat/>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footer"/>
    <w:basedOn w:val="1"/>
    <w:unhideWhenUsed/>
    <w:uiPriority w:val="99"/>
    <w:pPr>
      <w:tabs>
        <w:tab w:pos="4680" w:val="center"/>
        <w:tab w:pos="9360" w:val="right"/>
      </w:tabs>
      <w:spacing w:after="0" w:line="240" w:lineRule="auto"/>
    </w:pPr>
  </w:style>
  <w:style w:styleId="5" w:type="paragraph">
    <w:name w:val="header"/>
    <w:basedOn w:val="1"/>
    <w:unhideWhenUsed/>
    <w:uiPriority w:val="99"/>
    <w:pPr>
      <w:tabs>
        <w:tab w:pos="4680" w:val="center"/>
        <w:tab w:pos="9360" w:val="right"/>
      </w:tabs>
      <w:spacing w:after="0" w:line="240" w:lineRule="auto"/>
    </w:pPr>
  </w:style>
  <w:style w:styleId="6" w:type="table">
    <w:name w:val="Table Grid"/>
    <w:basedOn w:val="3"/>
    <w:qFormat/>
    <w:uiPriority w:val="5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0" Target="footer3.xml" Type="http://schemas.openxmlformats.org/officeDocument/2006/relationships/footer" /><Relationship Type="http://schemas.openxmlformats.org/officeDocument/2006/relationships/image" Id="rId103" Target="media/rId103.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42</Words>
  <Characters>254</Characters>
  <Lines>2</Lines>
  <Paragraphs>1</Paragraphs>
  <TotalTime>0</TotalTime>
  <ScaleCrop>false</ScaleCrop>
  <LinksUpToDate>false</LinksUpToDate>
  <CharactersWithSpaces>295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2026-05-09T11:46:15Z</dcterms:created>
  <dcterms:modified xsi:type="dcterms:W3CDTF">2026-05-09T11:46:15Z</dcterms:modified>
</cp:coreProperties>
</file>

<file path=docProps/custom.xml><?xml version="1.0" encoding="utf-8"?>
<Properties xmlns="http://schemas.openxmlformats.org/officeDocument/2006/custom-properties" xmlns:vt="http://schemas.openxmlformats.org/officeDocument/2006/docPropsVTypes"/>
</file>