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288" w:lineRule="auto" w:after="6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288" w:lineRule="auto" w:after="6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288" w:lineRule="auto" w:after="6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które razem wspierają kandydata w pełnym przepływie pracy poszukiwania zatrudnienia. Frontend zbudowano w technologiach React 19 i TanStack Start; backend wykorzystuje FastAPI oraz PostgreSQL; wnioskowanie modelu językowego delegowano do usługi Google Vertex AI Gemini 2.5 Flash. W odpowiedzi na obawy dotyczące kosztu, opóźnienia oraz zależności od dostawcy zewnętrznego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łączący deterministyczną heurystykę ze strukturalnym wyjściem modelu językowego (40% / 60%), oraz</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oparty na klasycznych metodach wyszukiwania informacji: ważonej dowodem TF–IDF analizie słów kluczowych z rankingiem BM25, normalizacji umiejętności zgodnej z taksonomią ESCO, dopasowaniu rozmytym opartym na odległości Levenshteina oraz ekstrakcji cech ważonych sekcjami. Kontrolowane studium porównawcze oceniło oba tryby na 100 parach (CV, opis stanowiska) obejmujących sześć ścieżek zawodowych, w czterech rodzinach miar: zgodności wyników (Pearson, Spearman, Kendall), kształcie rozkładu, opóźnieniu oraz koszcie jednego wywołania. Zbiór ewaluacyjny stanowią deterministycznie wygenerowane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syntetyczne CV oraz syntetyczne opisy stanowisk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skonstruowane z rozłącznych słownikowo pul fraz, w których strona CV i strona opisu stanowiska nie współdzielą słownictwa treściowego poza kanonicznymi nazwami umiejętności; ograniczenia konstrukcji zbioru oraz wynikające z nich zagrożenia trafności są jawnie udokumentowane w rozdziale prezentującym wyniki. W obrębie tego syntetycznego zbioru ewaluacyjnego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na wyniku ogólnym, działa około dwa do trzech rzędów wielkości szybciej (mediana 25,5 ms wobec 18,2 s) oraz nie ponosi krańcowego kosztu po stronie modelu językowego. 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jest to zgodność krzyżowa po wyłączeniu 0,40-składnika heurystycznego, który tryb mieszany zawiera z definicji. Tryb mieszany zachowuje nieredukowalną przewagę w zakresie dowodów jakości prozy (podwynik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motywuje utrzymanie komponentu językowego obok deterministycznej linii bazowej. Ograniczenia obejmują zakres jednojęzyczny (angielski), syntetyczny zbiór jednego autora oraz pojedynczą konfigurację dostawcy modelu językowego; długoterminowa walidacja podłużna pozostaje poza zakresem. Praca przyszła obejmuje integrację komponentu wyszukiwania wspomagającego, rozszerzenie o CV w języku polskim oraz uzupełnienie heurystyki o pośredni poziom dopasowania semantycznego oparty na transformatorach zdań.</w:t>
      </w:r>
    </w:p>
    <w:p>
      <w:pPr>
        <w:pStyle w:val="BodyText"/>
        <w:spacing w:line="288" w:lineRule="auto" w:after="6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288" w:lineRule="auto" w:after="60"/>
        <w:ind w:firstLine="283"/>
        <w:jc w:val="both"/>
      </w:pPr>
      <w:r>
        <w:rPr>
          <w:rFonts w:ascii="Times New Roman" w:hAnsi="Times New Roman" w:eastAsia="Times New Roman" w:cs="Times New Roman"/>
          <w:color w:val="000000"/>
          <w:sz w:val="24"/>
        </w:rPr>
        <w:t xml:space="preserve">Abstract (English)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288" w:lineRule="auto" w:after="6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Levenshtein-style fuzzy matching, and section-weighted feature extraction.</w:t>
      </w:r>
    </w:p>
    <w:p>
      <w:pPr>
        <w:pStyle w:val="BodyText"/>
        <w:spacing w:line="288" w:lineRule="auto" w:after="6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after controlling for the 0.40 heuristic share embedded in the blended formula.</w:t>
      </w:r>
    </w:p>
    <w:p>
      <w:pPr>
        <w:pStyle w:val="BodyText"/>
        <w:spacing w:line="288" w:lineRule="auto" w:after="60"/>
        <w:ind w:firstLine="283"/>
        <w:jc w:val="both"/>
      </w:pPr>
      <w:r>
        <w:rPr>
          <w:rFonts w:ascii="Times New Roman" w:hAnsi="Times New Roman" w:eastAsia="Times New Roman" w:cs="Times New Roman"/>
          <w:color w:val="000000"/>
          <w:sz w:val="24"/>
        </w:rPr>
        <w:t xml:space="preserve">The result supports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ESCO support, retrieval-augmented grounding, and a sentence-transformer intermediate tier.</w:t>
      </w:r>
    </w:p>
    <w:p>
      <w:pPr>
        <w:pStyle w:val="BodyText"/>
        <w:spacing w:line="288" w:lineRule="auto" w:after="6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288" w:lineRule="auto" w:after="60"/>
        <w:ind w:firstLine="283"/>
        <w:jc w:val="both"/>
      </w:pPr>
      <w:r>
        <w:rPr>
          <w:rFonts w:ascii="Times New Roman" w:hAnsi="Times New Roman" w:eastAsia="Times New Roman" w:cs="Times New Roman"/>
          <w:color w:val="000000"/>
          <w:sz w:val="24"/>
        </w:rPr>
        <w:t xml:space="preserve">Acknowledgements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288" w:lineRule="auto" w:after="6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288" w:lineRule="auto" w:after="6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288" w:lineRule="auto" w:after="6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288" w:lineRule="auto" w:after="60"/>
        <w:ind w:firstLine="283"/>
        <w:jc w:val="both"/>
      </w:pPr>
      <w:r>
        <w:rPr>
          <w:rFonts w:ascii="Times New Roman" w:hAnsi="Times New Roman" w:eastAsia="Times New Roman" w:cs="Times New Roman"/>
          <w:color w:val="000000"/>
          <w:sz w:val="24"/>
        </w:rPr>
        <w:t xml:space="preserve">List of abbreviations and symbols</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Abbreviation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Expansion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Artificial Intelligence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Application Programming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Archive of Diploma Theses (USOS-APD)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ATS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Applicant Tracking 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Best Match 25 (probabilistic relevance ranking function)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Confidence Interval / Continuous Integration, depending on context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Cross-Origin Resource Sharing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European Skills, Competences, Qualifications and Occupations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 web framework used by the backend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GDPR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General Data Protection Regulation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Gemini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large-language-model family used through Vertex AI</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HTTP / HTTPS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HyperText Transfer Protocol / HTTP Secure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Information Retrieval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JavaScript Object Notation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 Web Token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Kolmogorov–Smirnov statistical distance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Large Language Model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Named-Entity Recognition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NLP</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Natural Language Processing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Open Authorisation / federated-identity protocol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Occupational Information Network taxonomy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Object–Relational Mapping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Portable Document Format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PWr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Politechnika Wrocławska / Wrocław University of Science and Technology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Retrieval-Augmented Generation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Representational State Transfer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Sentence-BERT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Structured Query Language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TF–IDF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Term Frequency–Inverse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UI / UX</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User Interface / User Experience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Uniform Resource Locator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 Archive of Diploma Theses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UUID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Universally Unique Identifier</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WEFiM</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288" w:lineRule="auto" w:after="60"/>
        <w:ind w:firstLine="283"/>
        <w:jc w:val="both"/>
      </w:pPr>
      <w:r>
        <w:rPr>
          <w:rFonts w:ascii="Times New Roman" w:hAnsi="Times New Roman" w:eastAsia="Times New Roman" w:cs="Times New Roman"/>
          <w:color w:val="000000"/>
          <w:sz w:val="24"/>
        </w:rPr>
        <w:t xml:space="preserve">Symbols (used in formulas in Chapter 4)</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Symbol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Meaning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 correlation coefficient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ρ, τ</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and Kendall rank-correlation coefficients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 term-frequency saturation and document-length normalisation parameters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τ</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Fuzzy-matching similarity threshold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Number of resumes and number of job descriptions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 single resume and a single job description</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53"/>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288" w:lineRule="auto" w:after="60"/>
        <w:ind w:firstLine="283"/>
        <w:jc w:val="both"/>
      </w:pPr>
      <w:r>
        <w:rPr>
          <w:rFonts w:ascii="Times New Roman" w:hAnsi="Times New Roman" w:eastAsia="Times New Roman" w:cs="Times New Roman"/>
          <w:color w:val="000000"/>
          <w:sz w:val="24"/>
        </w:rPr>
        <w:t xml:space="preserve">Chapter 1 — Introduction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Choosing a career path has become harder as job titles fragment, skill requirements change quickly, and many applications pass through automated screening before a human reviewer sees them [3, 18]. Candidates therefore face two coupled problems: understanding which roles fit their current experience, and presenting that experience in a form that remains legible to both recruiters and algorithmic filters.</w:t>
      </w:r>
    </w:p>
    <w:p>
      <w:pPr>
        <w:pStyle w:val="BodyText"/>
        <w:spacing w:line="288" w:lineRule="auto" w:after="60"/>
        <w:ind w:firstLine="283"/>
        <w:jc w:val="both"/>
      </w:pPr>
      <w:r>
        <w:rPr>
          <w:rFonts w:ascii="Times New Roman" w:hAnsi="Times New Roman" w:eastAsia="Times New Roman" w:cs="Times New Roman"/>
          <w:color w:val="000000"/>
          <w:sz w:val="24"/>
        </w:rPr>
        <w:t xml:space="preserve">Most existing support is fragmented. A candidate may use one tool for resume editing, another for job-board matching, another for a cover letter, and another for interview preparation. Each tool starts from the same resume but rarely carries context into the next step. The thesis addresses this gap by building an integrated AI-based career-support system in which the resume is the shared representation used across all tools.</w:t>
      </w:r>
    </w:p>
    <w:p>
      <w:pPr>
        <w:pStyle w:val="BodyText"/>
        <w:spacing w:line="288" w:lineRule="auto" w:after="60"/>
        <w:ind w:firstLine="283"/>
        <w:jc w:val="both"/>
      </w:pPr>
      <w:r>
        <w:rPr>
          <w:rFonts w:ascii="Times New Roman" w:hAnsi="Times New Roman" w:eastAsia="Times New Roman" w:cs="Times New Roman"/>
          <w:color w:val="000000"/>
          <w:sz w:val="24"/>
        </w:rPr>
        <w:t xml:space="preserve">The immediate motivation was practical rather than abstract. During an internship search, the same resume had to be re-entered into a resume editor, a match-score tool, a cover-letter prompt, and an interview-question generator. The friction was not that any single tool was unusable; it was that each one forgot what the previous step had already established. The system developed for this thesis therefore treats continuity of candidate context as a first-class requirement.</w:t>
      </w:r>
    </w:p>
    <w:bookmarkStart w:id="27" w:name="the-career-decision-problem"/>
    <w:p>
      <w:pPr>
        <w:pStyle w:val="Heading2"/>
        <w:spacing w:line="288" w:lineRule="auto" w:after="6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288" w:lineRule="auto" w:after="6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288" w:lineRule="auto" w:after="6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288" w:lineRule="auto" w:after="6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288" w:lineRule="auto" w:after="6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288" w:lineRule="auto" w:after="6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288" w:lineRule="auto" w:after="6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thesis centres on a design tension between two scoring families. The first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deterministic information-retrieval methods such as TF–IDF [5], BM25 [6], Levenshtein-style fuzzy matching [7], taxonomy lookup [8, 9], and section-weighted feature extraction [18]. These methods are cheap, auditable, and independent of external inference services. Their strongest claim is that they capture much of the first-pass recruiter signal: skill overlap, measurable impact, structure, and completeness.</w:t>
      </w:r>
    </w:p>
    <w:p>
      <w:pPr>
        <w:pStyle w:val="BodyText"/>
        <w:spacing w:line="288" w:lineRule="auto" w:after="6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LLM services that read a resume and a job description as natural language and return structured reasoning about alignment. Recent recruitment research reports faster screening and richer feedback from LLM agents and semantic feedback loops than from manual or keyword-only review [16, 17, 18, 19]. Their trade-off is per-call cost, higher latency, and a reasoning process that is harder to audit.</w:t>
      </w:r>
    </w:p>
    <w:p>
      <w:pPr>
        <w:pStyle w:val="BodyText"/>
        <w:spacing w:line="288" w:lineRule="auto" w:after="60"/>
        <w:ind w:firstLine="283"/>
        <w:jc w:val="both"/>
      </w:pPr>
      <w:r>
        <w:rPr>
          <w:rFonts w:ascii="Times New Roman" w:hAnsi="Times New Roman" w:eastAsia="Times New Roman" w:cs="Times New Roman"/>
          <w:color w:val="000000"/>
          <w:sz w:val="24"/>
        </w:rPr>
        <w:t xml:space="preserve">This dichotomy motivates the comparative study in Chapter 4. The implemented system exposes both modes through one interface: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combines heuristic and LLM scores,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that skips the LLM. The research question is deliberately bounded: on a controlled, deterministically generated synthetic benchmark of resumes and job descriptions, how much of the blended mode’s discriminative power is recoverable from a strictly classical-IR heuristic, and at what latency and cost ratio? The benchmark limits are stated explicitly in Section 4.1.4.</w:t>
      </w:r>
    </w:p>
    <w:p>
      <w:pPr>
        <w:pStyle w:val="BodyText"/>
        <w:spacing w:line="288" w:lineRule="auto" w:after="60"/>
        <w:ind w:firstLine="283"/>
        <w:jc w:val="both"/>
      </w:pPr>
      <w:r>
        <w:rPr>
          <w:rFonts w:ascii="Times New Roman" w:hAnsi="Times New Roman" w:eastAsia="Times New Roman" w:cs="Times New Roman"/>
          <w:color w:val="000000"/>
          <w:sz w:val="24"/>
        </w:rPr>
        <w:t xml:space="preserve">The implementation order is also disclosed because it affects interpretation. The blended mode existed first; the strong heuristic was designed later after the supervisor proposed a heuristic-only comparison. This creates a post-hoc design-coupling threat that Chapter 4 treats as a validity limitation rather than hiding it.</w:t>
      </w:r>
    </w:p>
    <w:p>
      <w:pPr>
        <w:pStyle w:val="BodyText"/>
        <w:spacing w:line="288" w:lineRule="auto" w:after="60"/>
        <w:ind w:firstLine="283"/>
        <w:jc w:val="both"/>
      </w:pPr>
      <w:r>
        <w:rPr>
          <w:rFonts w:ascii="Times New Roman" w:hAnsi="Times New Roman" w:eastAsia="Times New Roman" w:cs="Times New Roman"/>
          <w:color w:val="000000"/>
          <w:sz w:val="24"/>
        </w:rPr>
        <w:t xml:space="preserve">The value of the comparison is operational. If the heuristic preserves useful ranking behaviour, it can act as a low-cost fallback when the LLM is unavailable and as a live demonstration mode during the diploma defence. If it fails, the system still benefits from the blended mode, but the fallback must be framed only as an emergency response.</w:t>
      </w:r>
    </w:p>
    <w:p>
      <w:pPr>
        <w:pStyle w:val="BodyText"/>
        <w:spacing w:line="288" w:lineRule="auto" w:after="60"/>
        <w:ind w:firstLine="283"/>
        <w:jc w:val="both"/>
      </w:pPr>
      <w:r>
        <w:rPr>
          <w:rFonts w:ascii="Times New Roman" w:hAnsi="Times New Roman" w:eastAsia="Times New Roman" w:cs="Times New Roman"/>
          <w:color w:val="000000"/>
          <w:sz w:val="24"/>
        </w:rPr>
        <w:t xml:space="preserve">The comparison also clarifies the boundary between engineering and research in the project. The engineering task is to deliver a reliable user-facing system. The research task is to characterise one design decision inside that system: whether a transparent scoring baseline remains useful when compared with the LLM-augmented path. The two tasks reinforce each other because the same runtime switch used for the study is also a practical operational control.</w:t>
      </w:r>
    </w:p>
    <w:bookmarkEnd w:id="30"/>
    <w:bookmarkStart w:id="31" w:name="purpose-of-the-thesis"/>
    <w:p>
      <w:pPr>
        <w:pStyle w:val="Heading2"/>
        <w:spacing w:line="288" w:lineRule="auto" w:after="60"/>
        <w:ind w:firstLine="283"/>
        <w:jc w:val="both"/>
      </w:pPr>
      <w:r>
        <w:rPr>
          <w:rFonts w:ascii="Times New Roman" w:hAnsi="Times New Roman" w:eastAsia="Times New Roman" w:cs="Times New Roman"/>
          <w:color w:val="000000"/>
          <w:sz w:val="24"/>
        </w:rPr>
        <w:t xml:space="preserve">1.5 Purpose of the thesis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288" w:lineRule="auto" w:after="6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using score agreement, distribution shape, latency, and per-call cost.</w:t>
      </w:r>
    </w:p>
    <w:p>
      <w:pPr>
        <w:pStyle w:val="BodyText"/>
        <w:spacing w:line="288" w:lineRule="auto" w:after="6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288" w:lineRule="auto" w:after="6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288" w:lineRule="auto" w:after="6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288" w:lineRule="auto" w:after="6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288" w:lineRule="auto" w:after="6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future work: Polish-language ESCO support, a sentence-transformer intermediate tier [20, 21], and retrieval-augmented grounding for LLM outputs [25].</w:t>
      </w:r>
    </w:p>
    <w:p>
      <w:pPr>
        <w:pStyle w:val="BodyText"/>
        <w:spacing w:line="288" w:lineRule="auto" w:after="6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288" w:lineRule="auto" w:after="6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describes the architecture of the implemented system: requirements, technology stack, backend and frontend structure, persistence, authentication, and deployment. Design rationales are included only where they affect the thesis evaluation or operational behaviour.</w:t>
      </w:r>
    </w:p>
    <w:bookmarkStart w:id="36" w:name="X543fc3ee69d8b9eebfbf21368042f80b38ec856"/>
    <w:p>
      <w:pPr>
        <w:pStyle w:val="Heading2"/>
        <w:spacing w:line="288" w:lineRule="auto" w:after="6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system was designed to satisfy six functional requirements, one per user-facing tool, and seven non-functional requirements.</w:t>
      </w:r>
    </w:p>
    <w:bookmarkStart w:id="34" w:name="functional-requirements"/>
    <w:p>
      <w:pPr>
        <w:pStyle w:val="Heading3"/>
        <w:spacing w:line="288" w:lineRule="auto" w:after="60"/>
        <w:ind w:firstLine="283"/>
        <w:jc w:val="both"/>
      </w:pPr>
      <w:r>
        <w:rPr>
          <w:rFonts w:ascii="Times New Roman" w:hAnsi="Times New Roman" w:eastAsia="Times New Roman" w:cs="Times New Roman"/>
          <w:color w:val="000000"/>
          <w:sz w:val="24"/>
        </w:rPr>
        <w:t xml:space="preserve">2.1.1 Functional requirements</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320"/>
        <w:gridCol w:w="660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ID / tool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Required behaviour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F1 Resume Analyzer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Assess a resume with overall score, sub-scores, issues, actions, and strengths.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F2 Job Match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Compare a resume with a job description and return score, matched and missing keywords, verdict, and action items.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F3 Career Path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Suggest ranked career paths with rationale, required skills, and progression timeline.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F4 Cover Letter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a tailored cover letter from resume and 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F5 Interview Q&amp;A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Generate likely interview questions by category with coaching notes.</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F6 Portfolio Planner</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Identify skill gaps and concrete portfolio artefact ideas for a target role.</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same uploaded resume must serve all six tools without re-entry. Tool runs must be re-runnable, and previous results must be usable as context for later tools.</w:t>
      </w:r>
    </w:p>
    <w:bookmarkEnd w:id="34"/>
    <w:bookmarkStart w:id="35" w:name="non-functional-requirements"/>
    <w:p>
      <w:pPr>
        <w:pStyle w:val="Heading3"/>
        <w:spacing w:line="288" w:lineRule="auto" w:after="6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non-functional requirements reflect a single-developer, thesis-scoped deployment.</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separated because the analytical core supports two scoring modes (Section 4.2.9).</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heuristic-only path should remain below 50 ms at the 95th percentile.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N1b: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cold path should remain below 25 s at the 95th percentile, dominated by the upstream Gemini call; cached production requests are materially faster as reported in Section 3.9.</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 cost is bounded by Gemini 2.5 Flash. Fully heuristic mode reduces LLM-side marginal cost to zero.</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Analytical tools fall back to heuristic-only output after LLM failure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Generative tools fail with a structured retry-able error rather than fabricating content.</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Each persisted tool invocation stores hashed inputs, full output, timing, access mode, and linkage metadata for later inspection and for the study in Chapter 4.</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Logged-in screens load no third-party advertising or analytics scripts. Personal data is encrypted in transit and at rest by the managed provider; passwords are stored as bcrypt hashes.</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 deployment runs as one Railway project with frontend, backend, and managed PostgreSQL behind one external origin.</w:t>
      </w:r>
    </w:p>
    <w:p>
      <w:pPr>
        <w:pStyle w:val="Compact"/>
        <w:numPr>
          <w:ilvl w:val="0"/>
          <w:numId w:val="1001"/>
        </w:numPr>
        <w:spacing w:line="288" w:lineRule="auto" w:after="6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must be operable from a laptop and must allow the analytical core to switch between blended and fully heuristic modes during a diploma-defence demonstration.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latency requirement was split after measurement. An earlier single cold-path target below five seconds did not match the observed behaviour of structured LLM calls. Separating N1a and N1b keeps the requirement honest: the heuristic path is evaluated as local computation, while the blended path is evaluated as an upstream-service workflow whose tail latency is outside the application’s direct control.</w:t>
      </w:r>
    </w:p>
    <w:bookmarkEnd w:id="35"/>
    <w:bookmarkEnd w:id="36"/>
    <w:bookmarkStart w:id="37" w:name="technology-stack-and-rationale"/>
    <w:p>
      <w:pPr>
        <w:pStyle w:val="Heading2"/>
        <w:spacing w:line="288" w:lineRule="auto" w:after="6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technology stack is summarised in Table 2.1.</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2132"/>
        <w:gridCol w:w="2436"/>
        <w:gridCol w:w="33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Layer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Choice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Rationale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Backend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 0.115, SQLAlchemy 2.0, Alembic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Python-native API, typed validation, mature relational persistence.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Database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16 (Railway managed)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Single-node managed database is sufficient for thesis traffic.</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Vertex AI Gemini 2.5 Flash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Low-cost structured-output model with an asynchronous client.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Frontend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React 19, TanStack Start, Vite 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SPA workspace, type-safe file routing, fast development build.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Styling and UI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Tailwind 4, Radix UI, Framer Motion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Accessible primitives, utility styling, controlled animation.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Authentication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HttpOnly cookies, Google 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No client-readable tokens and standard refresh rotation.</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Operations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Resend, Sentry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Unified deployment, transactional reset email, lightweight error tracking.</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FastAPI was selected over a TypeScript backend because the analytical core benefits from Python’s mature text-processing ecosystem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optional retrieval libraries) and from the official Google Vertex AI client. Keeping scoring logic in Python reduces the risk of language-boundary differences in the comparative study.</w:t>
      </w:r>
    </w:p>
    <w:p>
      <w:pPr>
        <w:pStyle w:val="BodyText"/>
        <w:spacing w:line="288" w:lineRule="auto" w:after="60"/>
        <w:ind w:firstLine="283"/>
        <w:jc w:val="both"/>
      </w:pPr>
      <w:r>
        <w:rPr>
          <w:rFonts w:ascii="Times New Roman" w:hAnsi="Times New Roman" w:eastAsia="Times New Roman" w:cs="Times New Roman"/>
          <w:color w:val="000000"/>
          <w:sz w:val="24"/>
        </w:rPr>
        <w:t xml:space="preserve">TanStack Start was selected over Next.js because the application is an authenticated workspace rather than a content site. Type-safe file routing and co-located search-parameter state fit the multi-tool workflow, while server components and ISR would add little to the thesis scope.</w:t>
      </w:r>
    </w:p>
    <w:p>
      <w:pPr>
        <w:pStyle w:val="BodyText"/>
        <w:spacing w:line="288" w:lineRule="auto" w:after="60"/>
        <w:ind w:firstLine="283"/>
        <w:jc w:val="both"/>
      </w:pPr>
      <w:r>
        <w:rPr>
          <w:rFonts w:ascii="Times New Roman" w:hAnsi="Times New Roman" w:eastAsia="Times New Roman" w:cs="Times New Roman"/>
          <w:color w:val="000000"/>
          <w:sz w:val="24"/>
        </w:rPr>
        <w:t xml:space="preserve">The deployment stack also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288" w:lineRule="auto" w:after="60"/>
        <w:ind w:firstLine="283"/>
        <w:jc w:val="both"/>
      </w:pPr>
      <w:r>
        <w:rPr>
          <w:rFonts w:ascii="Times New Roman" w:hAnsi="Times New Roman" w:eastAsia="Times New Roman" w:cs="Times New Roman"/>
          <w:color w:val="000000"/>
          <w:sz w:val="24"/>
        </w:rPr>
        <w:t xml:space="preserve">2.3 Backend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288" w:lineRule="auto" w:after="60"/>
        <w:ind w:firstLine="283"/>
        <w:jc w:val="both"/>
      </w:pPr>
      <w:r>
        <w:rPr>
          <w:rFonts w:ascii="Times New Roman" w:hAnsi="Times New Roman" w:eastAsia="Times New Roman" w:cs="Times New Roman"/>
          <w:color w:val="000000"/>
          <w:sz w:val="24"/>
        </w:rPr>
        <w:t xml:space="preserve">2.3.1 Routers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Routers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mounted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Each router validates the request body with the relevant Pydantic schema, resolves dependencies such as the current user and database session, invokes a service function, and returns the response. Keeping routers thin makes the tool services and the shared pipeline the main units of behaviour.</w:t>
      </w:r>
    </w:p>
    <w:bookmarkEnd w:id="41"/>
    <w:bookmarkStart w:id="45" w:name="the-shared-tool-pipeline"/>
    <w:p>
      <w:pPr>
        <w:pStyle w:val="Heading3"/>
        <w:spacing w:line="288" w:lineRule="auto" w:after="6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six tools share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Its stages are shown in Figure 2.2.</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text, job descriptions, and feedback strings are normalised and bounded before reaching prompts.</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hash of the tool name, sanitised inputs, user identifier, and tool-specific keys is checked against the in-memory cache.</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coroutine performs heuristic extraction, prompt construction, LLM invocation where applicable, and post-processing.</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Authenticated results are stored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rows with labels, payloads, linked context, workspace identifiers, regeneration parent ids, and feedback text.</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returns the history identifier and access mode.</w:t>
      </w:r>
    </w:p>
    <w:p>
      <w:pPr>
        <w:pStyle w:val="Compact"/>
        <w:numPr>
          <w:ilvl w:val="0"/>
          <w:numId w:val="1002"/>
        </w:numPr>
        <w:spacing w:line="288" w:lineRule="auto" w:after="6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Structured start, success, and failure events record tool name, access mode, duration, and error category.</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288" w:lineRule="auto" w:after="60"/>
        <w:ind w:firstLine="283"/>
        <w:jc w:val="both"/>
      </w:pPr>
      <w:r>
        <w:rPr>
          <w:rFonts w:ascii="Times New Roman" w:hAnsi="Times New Roman" w:eastAsia="Times New Roman" w:cs="Times New Roman"/>
          <w:color w:val="000000"/>
          <w:sz w:val="24"/>
        </w:rPr>
        <w:t xml:space="preserve">The pipeline gives every tool the same cache, persistence, and observability behaviour. It also lets Chapter 4 reason about mode switching and fallback uniformly rather than per endpoint.</w:t>
      </w:r>
    </w:p>
    <w:p>
      <w:pPr>
        <w:pStyle w:val="BodyText"/>
        <w:spacing w:line="288" w:lineRule="auto" w:after="60"/>
        <w:ind w:firstLine="283"/>
        <w:jc w:val="both"/>
      </w:pPr>
      <w:r>
        <w:rPr>
          <w:rFonts w:ascii="Times New Roman" w:hAnsi="Times New Roman" w:eastAsia="Times New Roman" w:cs="Times New Roman"/>
          <w:color w:val="000000"/>
          <w:sz w:val="24"/>
        </w:rPr>
        <w:t xml:space="preserve">This common wrapper is especially important for regenerated results. A regeneration is just another pipeline run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 The design avoids hidden per-tool exceptions: whether the run is a resume analysis, a cover letter, or a portfolio plan, the frontend can expect a history identifier and a stable result page.</w:t>
      </w:r>
    </w:p>
    <w:bookmarkEnd w:id="45"/>
    <w:bookmarkStart w:id="46" w:name="tool-services-and-prompt-builders"/>
    <w:p>
      <w:pPr>
        <w:pStyle w:val="Heading3"/>
        <w:spacing w:line="288" w:lineRule="auto" w:after="6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Each tool is implemented through a service module and a prompt module. The service orchestrates the heuristic prepass, invokes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and post-processes the validated result. The prompt module assembles the system and user messages from inputs and the locked heuristic payload. This split keeps prompt content versioned but separate from service orchestration.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when the LLM path fails. Generative services do not attempt a heuristic substitute, because a deterministic cover letter or interview answer would be misleading.</w:t>
      </w:r>
    </w:p>
    <w:bookmarkEnd w:id="46"/>
    <w:bookmarkStart w:id="47" w:name="the-heuristic-prepass"/>
    <w:p>
      <w:pPr>
        <w:pStyle w:val="Heading3"/>
        <w:spacing w:line="288" w:lineRule="auto" w:after="60"/>
        <w:ind w:firstLine="283"/>
        <w:jc w:val="both"/>
      </w:pPr>
      <w:r>
        <w:rPr>
          <w:rFonts w:ascii="Times New Roman" w:hAnsi="Times New Roman" w:eastAsia="Times New Roman" w:cs="Times New Roman"/>
          <w:color w:val="000000"/>
          <w:sz w:val="24"/>
        </w:rPr>
        <w:t xml:space="preserve">2.3.4 The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Resume Analyzer and Job Match compute a deterministic prepass before the LLM call. The prepass detects sections, bullets, quantified achievements, matched and missing keywords, skill phrases, and five sub-scores: keyword alignment, impact, structure, clarity, and completeness. The payload is appended to the prompt as a locked block that the LLM must treat as ground truth. This stabilises scoring and makes heuristic-only fallback and fully heuristic mode possible without a separate response contract.</w:t>
      </w:r>
    </w:p>
    <w:bookmarkEnd w:id="47"/>
    <w:bookmarkEnd w:id="48"/>
    <w:bookmarkStart w:id="52" w:name="frontend-architecture"/>
    <w:p>
      <w:pPr>
        <w:pStyle w:val="Heading2"/>
        <w:spacing w:line="288" w:lineRule="auto" w:after="60"/>
        <w:ind w:firstLine="283"/>
        <w:jc w:val="both"/>
      </w:pPr>
      <w:r>
        <w:rPr>
          <w:rFonts w:ascii="Times New Roman" w:hAnsi="Times New Roman" w:eastAsia="Times New Roman" w:cs="Times New Roman"/>
          <w:color w:val="000000"/>
          <w:sz w:val="24"/>
        </w:rPr>
        <w:t xml:space="preserve">2.4 Frontend architecture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frontend is a single-page application served from the same Railway project as the backend.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the remaining routes.</w:t>
      </w:r>
    </w:p>
    <w:bookmarkStart w:id="49" w:name="route-structure"/>
    <w:p>
      <w:pPr>
        <w:pStyle w:val="Heading3"/>
        <w:spacing w:line="288" w:lineRule="auto" w:after="60"/>
        <w:ind w:firstLine="283"/>
        <w:jc w:val="both"/>
      </w:pPr>
      <w:r>
        <w:rPr>
          <w:rFonts w:ascii="Times New Roman" w:hAnsi="Times New Roman" w:eastAsia="Times New Roman" w:cs="Times New Roman"/>
          <w:color w:val="000000"/>
          <w:sz w:val="24"/>
        </w:rPr>
        <w:t xml:space="preserve">2.4.1 Route structure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generated by TanStack Router. Each tool has an input route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 result 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where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persisted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Additional routes cover dashboard, account settings, login, password reset, history, and the admin scoring-mode surface.</w:t>
      </w:r>
    </w:p>
    <w:bookmarkEnd w:id="49"/>
    <w:bookmarkStart w:id="50" w:name="state-management"/>
    <w:p>
      <w:pPr>
        <w:pStyle w:val="Heading3"/>
        <w:spacing w:line="288" w:lineRule="auto" w:after="60"/>
        <w:ind w:firstLine="283"/>
        <w:jc w:val="both"/>
      </w:pPr>
      <w:r>
        <w:rPr>
          <w:rFonts w:ascii="Times New Roman" w:hAnsi="Times New Roman" w:eastAsia="Times New Roman" w:cs="Times New Roman"/>
          <w:color w:val="000000"/>
          <w:sz w:val="24"/>
        </w:rPr>
        <w:t xml:space="preserve">2.4.2 State management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State is split into three scopes. Server state is held in TanStack Query, including session, history, and loaded results. Workflow state, such as the carried resume and linked result context, is stored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through hooks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Component state remains local to inputs, sheets, animations, and transient UI flags.</w:t>
      </w:r>
    </w:p>
    <w:bookmarkEnd w:id="50"/>
    <w:bookmarkStart w:id="51" w:name="layout-shell-and-navigation"/>
    <w:p>
      <w:pPr>
        <w:pStyle w:val="Heading3"/>
        <w:spacing w:line="288" w:lineRule="auto" w:after="6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application shell uses a dark sidebar, topbar, and light content area. The sidebar groups the six tools into primary, application, and planning clusters. On mobile, navigation collapses into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Tool metadata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adding a tool requires one registry entry rather than repeated UI edits.</w:t>
      </w:r>
    </w:p>
    <w:bookmarkEnd w:id="51"/>
    <w:bookmarkEnd w:id="52"/>
    <w:bookmarkStart w:id="53" w:name="data-model-and-persistence"/>
    <w:p>
      <w:pPr>
        <w:pStyle w:val="Heading2"/>
        <w:spacing w:line="288" w:lineRule="auto" w:after="6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persistence model contains three primary tables, summarised in Table 2.2.</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911"/>
        <w:gridCol w:w="2457"/>
        <w:gridCol w:w="35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Key columns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users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registered account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tool_runs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tool invocation that the system chose to persist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workspaces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Optional grouping of tool runs around a single role search</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Regeneration never overwrites an existing result: a regenerated run creates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pointing to the earlier row. Guest runs are not persisted to PostgreSQL; they live briefly in memory behind a session cookie, which keeps the database focused on authenticated history.</w:t>
      </w:r>
    </w:p>
    <w:p>
      <w:pPr>
        <w:pStyle w:val="BodyText"/>
        <w:spacing w:line="288" w:lineRule="auto" w:after="6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can record the prior run it depended on. This creates a graph of tool usage without requiring a separate workflow engine.</w:t>
      </w:r>
    </w:p>
    <w:bookmarkEnd w:id="53"/>
    <w:bookmarkStart w:id="54" w:name="authentication-and-security"/>
    <w:p>
      <w:pPr>
        <w:pStyle w:val="Heading2"/>
        <w:spacing w:line="288" w:lineRule="auto" w:after="6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Authentication uses JWTs in HttpOnly cookies: a 30-minute access token and a 7-day refresh token. The refresh token is sent only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is rotated on every successful refresh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CSRF tokens are not issued because the API accepts JSON request bodies and the SameSite policy matches the threat model.</w:t>
      </w:r>
    </w:p>
    <w:p>
      <w:pPr>
        <w:pStyle w:val="BodyText"/>
        <w:spacing w:line="288" w:lineRule="auto" w:after="60"/>
        <w:ind w:firstLine="283"/>
        <w:jc w:val="both"/>
      </w:pPr>
      <w:r>
        <w:rPr>
          <w:rFonts w:ascii="Times New Roman" w:hAnsi="Times New Roman" w:eastAsia="Times New Roman" w:cs="Times New Roman"/>
          <w:color w:val="000000"/>
          <w:sz w:val="24"/>
        </w:rPr>
        <w:t xml:space="preserve">Google OAuth is implemented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Password reset uses a single-use token sent through Resend and bound to the current password hash. Inputs are sanitised before prompt construction (Section 2.3.2), disposable-email domains are blocklisted,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rate limits login and password-reset endpoints more strictly than tool endpoints.</w:t>
      </w:r>
    </w:p>
    <w:bookmarkEnd w:id="54"/>
    <w:bookmarkStart w:id="58" w:name="deployment-topology"/>
    <w:p>
      <w:pPr>
        <w:pStyle w:val="Heading2"/>
        <w:spacing w:line="288" w:lineRule="auto" w:after="60"/>
        <w:ind w:firstLine="283"/>
        <w:jc w:val="both"/>
      </w:pPr>
      <w:r>
        <w:rPr>
          <w:rFonts w:ascii="Times New Roman" w:hAnsi="Times New Roman" w:eastAsia="Times New Roman" w:cs="Times New Roman"/>
          <w:color w:val="000000"/>
          <w:sz w:val="24"/>
        </w:rPr>
        <w:t xml:space="preserve">2.7 Deployment topology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production deployment runs as a single Railway project with frontend service, backend service, and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288" w:lineRule="auto" w:after="60"/>
        <w:ind w:firstLine="283"/>
        <w:jc w:val="both"/>
      </w:pPr>
      <w:r>
        <w:rPr>
          <w:rFonts w:ascii="Times New Roman" w:hAnsi="Times New Roman" w:eastAsia="Times New Roman" w:cs="Times New Roman"/>
          <w:color w:val="000000"/>
          <w:sz w:val="24"/>
        </w:rPr>
        <w:t xml:space="preserve">The shared hostname removes cross-origin complexity for SPA API calls and simplifies cookie configuration. PostgreSQL backups retain seven daily snapshots. Continuous deployment is tied to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branch, while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remains a development checkpoint. This two-branch model keeps the thesis deployment surface narrow without introducing a CI/CD system larger than the project requires.</w:t>
      </w:r>
    </w:p>
    <w:p>
      <w:pPr>
        <w:pStyle w:val="BodyText"/>
        <w:spacing w:line="288" w:lineRule="auto" w:after="60"/>
        <w:ind w:firstLine="283"/>
        <w:jc w:val="both"/>
      </w:pPr>
      <w:r>
        <w:rPr>
          <w:rFonts w:ascii="Times New Roman" w:hAnsi="Times New Roman" w:eastAsia="Times New Roman" w:cs="Times New Roman"/>
          <w:color w:val="000000"/>
          <w:sz w:val="24"/>
        </w:rPr>
        <w:t xml:space="preserve">Railway was chosen because it keeps frontend, backend, database, logs, and metrics under one operational surface. A split deployment, such as frontend hosting plus a separate backend host, was considered but rejected because it would add CORS, cookie, and routing overhead without improving the thesis evaluation.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single-origin deployment is also relevant to authentication. HttpOnly cookies are simpler when the SPA and API share one origin, and path-based routing avoids the browser-policy complexity of maintaining separate frontend and backend domains. For a larger product this architecture could be split later, but doing so during the thesis would have added operational risk without strengthening the research result.</w:t>
      </w:r>
    </w:p>
    <w:p>
      <w:pPr>
        <w:pStyle w:val="BodyText"/>
        <w:spacing w:line="288" w:lineRule="auto" w:after="60"/>
        <w:ind w:firstLine="283"/>
        <w:jc w:val="both"/>
      </w:pPr>
      <w:r>
        <w:rPr>
          <w:rFonts w:ascii="Times New Roman" w:hAnsi="Times New Roman" w:eastAsia="Times New Roman" w:cs="Times New Roman"/>
          <w:color w:val="000000"/>
          <w:sz w:val="24"/>
        </w:rPr>
        <w:t xml:space="preserve">The next chapter details the six tools supported by this architecture.</w:t>
      </w:r>
    </w:p>
    <w:bookmarkEnd w:id="58"/>
    <w:bookmarkEnd w:id="59"/>
    <w:bookmarkStart w:id="85" w:name="chapter-3-tool-implementations"/>
    <w:p>
      <w:pPr>
        <w:pStyle w:val="Heading1"/>
        <w:spacing w:line="288" w:lineRule="auto" w:after="6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288" w:lineRule="auto" w:after="6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288" w:lineRule="auto" w:after="6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288" w:lineRule="auto" w:after="6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and returns a parsed Python dictionary.</w:t>
      </w:r>
    </w:p>
    <w:p>
      <w:pPr>
        <w:pStyle w:val="BodyText"/>
        <w:spacing w:line="288" w:lineRule="auto" w:after="6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288" w:lineRule="auto" w:after="60"/>
        <w:ind w:firstLine="283"/>
        <w:jc w:val="both"/>
      </w:pPr>
      <w:r>
        <w:rPr>
          <w:rFonts w:ascii="Times New Roman" w:hAnsi="Times New Roman" w:eastAsia="Times New Roman" w:cs="Times New Roman"/>
          <w:color w:val="000000"/>
          <w:sz w:val="24"/>
        </w:rPr>
        <w:t xml:space="preserve">The specific retry schedule (5, 10, 20, 40 seconds) was tuned empirically rather than chosen from a textbook. An earlier version used a tighter 2–4–8–16 schedule; this turned out to retry faster than Vertex AI’s transient-error window would clear, and the third retry would still hit the same upstream failure. Doubling the base delay to 5 seconds eliminated the pattern almost completely and added at most an extra 30 seconds of waiting in the worst case, which the user-facing UI absorbs comfortably.</w:t>
      </w:r>
    </w:p>
    <w:bookmarkEnd w:id="60"/>
    <w:bookmarkStart w:id="61" w:name="the-locked-payload-prompt-pattern"/>
    <w:p>
      <w:pPr>
        <w:pStyle w:val="Heading3"/>
        <w:spacing w:line="288" w:lineRule="auto" w:after="6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to not modify the numerical scores, to not contradict the keyword detection, and to respect the evidence the prepass has already surfaced. This pattern stabilises the LLM’s output against prompt perturbations and aligns the LLM’s reasoning with a reproducible baseline. For the comparative study reported in Chapter 4, it is also the reason why disabling the LLM call (the fully-heuristic mode) does not require a parallel codepath; the heuristic prepass already produces a complete response on its own.</w:t>
      </w:r>
    </w:p>
    <w:bookmarkEnd w:id="61"/>
    <w:bookmarkStart w:id="62" w:name="pydantic-validated-structured-output"/>
    <w:p>
      <w:pPr>
        <w:pStyle w:val="Heading3"/>
        <w:spacing w:line="288" w:lineRule="auto" w:after="6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Every LLM response is validated against a Pydantic schema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schema is bidirectional: the same definition that constrains the JSON returned by Gemini also defines the Zod schema used by the frontend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to validate the API response before rendering it. Keeping these two definitions in lock-step is enforced through code review rather than through codegen, on the principle that the volume of fields in this project is small enough to not warrant a separate build step. Schema-constrained generation in current language models generally reduces parsing-error rates relative to free-form prompting, with adherence rates that depend on the model and on the prompt style; the operational data observed during the implementation of this thesis is consistent with that direction, although a precise per-cent agreement is not claimed here.</w:t>
      </w:r>
    </w:p>
    <w:bookmarkEnd w:id="62"/>
    <w:bookmarkStart w:id="63" w:name="fallback-policy"/>
    <w:p>
      <w:pPr>
        <w:pStyle w:val="Heading3"/>
        <w:spacing w:line="288" w:lineRule="auto" w:after="60"/>
        <w:ind w:firstLine="283"/>
        <w:jc w:val="both"/>
      </w:pPr>
      <w:r>
        <w:rPr>
          <w:rFonts w:ascii="Times New Roman" w:hAnsi="Times New Roman" w:eastAsia="Times New Roman" w:cs="Times New Roman"/>
          <w:color w:val="000000"/>
          <w:sz w:val="24"/>
        </w:rPr>
        <w:t xml:space="preserve">3.1.4 Fallback policy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288" w:lineRule="auto" w:after="6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288" w:lineRule="auto" w:after="6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w:t>
      </w:r>
    </w:p>
    <w:p>
      <w:pPr>
        <w:pStyle w:val="BodyText"/>
        <w:spacing w:line="288" w:lineRule="auto" w:after="6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288" w:lineRule="auto" w:after="60"/>
        <w:ind w:firstLine="283"/>
        <w:jc w:val="both"/>
      </w:pPr>
      <w:r>
        <w:rPr>
          <w:rFonts w:ascii="Times New Roman" w:hAnsi="Times New Roman" w:eastAsia="Times New Roman" w:cs="Times New Roman"/>
          <w:color w:val="000000"/>
          <w:sz w:val="24"/>
        </w:rPr>
        <w:t xml:space="preserve">3.1.5 Caching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4"/>
    <w:bookmarkEnd w:id="65"/>
    <w:bookmarkStart w:id="69" w:name="resume-analyzer"/>
    <w:p>
      <w:pPr>
        <w:pStyle w:val="Heading2"/>
        <w:spacing w:line="288" w:lineRule="auto" w:after="60"/>
        <w:ind w:firstLine="283"/>
        <w:jc w:val="both"/>
      </w:pPr>
      <w:r>
        <w:rPr>
          <w:rFonts w:ascii="Times New Roman" w:hAnsi="Times New Roman" w:eastAsia="Times New Roman" w:cs="Times New Roman"/>
          <w:color w:val="000000"/>
          <w:sz w:val="24"/>
        </w:rPr>
        <w:t xml:space="preserve">3.2 Resume Analyzer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288" w:lineRule="auto" w:after="60"/>
        <w:ind w:firstLine="283"/>
        <w:jc w:val="both"/>
      </w:pPr>
      <w:r>
        <w:rPr>
          <w:rFonts w:ascii="Times New Roman" w:hAnsi="Times New Roman" w:eastAsia="Times New Roman" w:cs="Times New Roman"/>
          <w:color w:val="000000"/>
          <w:sz w:val="24"/>
        </w:rPr>
        <w:t xml:space="preserve">3.2.1 Input contract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request body contains the raw resume text (free-form, minimum 80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288" w:lineRule="auto" w:after="60"/>
        <w:ind w:firstLine="283"/>
        <w:jc w:val="both"/>
      </w:pPr>
      <w:r>
        <w:rPr>
          <w:rFonts w:ascii="Times New Roman" w:hAnsi="Times New Roman" w:eastAsia="Times New Roman" w:cs="Times New Roman"/>
          <w:color w:val="000000"/>
          <w:sz w:val="24"/>
        </w:rPr>
        <w:t xml:space="preserve">3.2.2 Heuristic prepass</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[17].</w:t>
      </w:r>
    </w:p>
    <w:p>
      <w:pPr>
        <w:pStyle w:val="Compact"/>
        <w:numPr>
          <w:ilvl w:val="0"/>
          <w:numId w:val="1003"/>
        </w:numPr>
        <w:spacing w:line="288" w:lineRule="auto" w:after="6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288" w:lineRule="auto" w:after="6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288" w:lineRule="auto" w:after="6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by more than 20 points,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independent estimates disagreed.</w:t>
      </w:r>
    </w:p>
    <w:bookmarkEnd w:id="68"/>
    <w:bookmarkEnd w:id="69"/>
    <w:bookmarkStart w:id="73" w:name="job-match"/>
    <w:p>
      <w:pPr>
        <w:pStyle w:val="Heading2"/>
        <w:spacing w:line="288" w:lineRule="auto" w:after="60"/>
        <w:ind w:firstLine="283"/>
        <w:jc w:val="both"/>
      </w:pPr>
      <w:r>
        <w:rPr>
          <w:rFonts w:ascii="Times New Roman" w:hAnsi="Times New Roman" w:eastAsia="Times New Roman" w:cs="Times New Roman"/>
          <w:color w:val="000000"/>
          <w:sz w:val="24"/>
        </w:rPr>
        <w:t xml:space="preserve">3.3 Job Match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288" w:lineRule="auto" w:after="60"/>
        <w:ind w:firstLine="283"/>
        <w:jc w:val="both"/>
      </w:pPr>
      <w:r>
        <w:rPr>
          <w:rFonts w:ascii="Times New Roman" w:hAnsi="Times New Roman" w:eastAsia="Times New Roman" w:cs="Times New Roman"/>
          <w:color w:val="000000"/>
          <w:sz w:val="24"/>
        </w:rPr>
        <w:t xml:space="preserve">3.3.1 Input contract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288" w:lineRule="auto" w:after="60"/>
        <w:ind w:firstLine="283"/>
        <w:jc w:val="both"/>
      </w:pPr>
      <w:r>
        <w:rPr>
          <w:rFonts w:ascii="Times New Roman" w:hAnsi="Times New Roman" w:eastAsia="Times New Roman" w:cs="Times New Roman"/>
          <w:color w:val="000000"/>
          <w:sz w:val="24"/>
        </w:rPr>
        <w:t xml:space="preserve">3.3.2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288" w:lineRule="auto" w:after="6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288" w:lineRule="auto" w:after="60"/>
        <w:ind w:firstLine="283"/>
        <w:jc w:val="both"/>
      </w:pPr>
      <w:r>
        <w:rPr>
          <w:rFonts w:ascii="Times New Roman" w:hAnsi="Times New Roman" w:eastAsia="Times New Roman" w:cs="Times New Roman"/>
          <w:color w:val="000000"/>
          <w:sz w:val="24"/>
        </w:rPr>
        <w:t xml:space="preserve">Because the deterministic match score is locked, the LLM cannot move it; this preserves comparability across regenerations and is also the property that makes the fully-heuristic mode of Chapter 4 a clean substitution rather than a re-implementation.</w:t>
      </w:r>
    </w:p>
    <w:bookmarkEnd w:id="72"/>
    <w:bookmarkEnd w:id="73"/>
    <w:bookmarkStart w:id="76" w:name="career-path"/>
    <w:p>
      <w:pPr>
        <w:pStyle w:val="Heading2"/>
        <w:spacing w:line="288" w:lineRule="auto" w:after="60"/>
        <w:ind w:firstLine="283"/>
        <w:jc w:val="both"/>
      </w:pPr>
      <w:r>
        <w:rPr>
          <w:rFonts w:ascii="Times New Roman" w:hAnsi="Times New Roman" w:eastAsia="Times New Roman" w:cs="Times New Roman"/>
          <w:color w:val="000000"/>
          <w:sz w:val="24"/>
        </w:rPr>
        <w:t xml:space="preserve">3.4 Career Path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288" w:lineRule="auto" w:after="60"/>
        <w:ind w:firstLine="283"/>
        <w:jc w:val="both"/>
      </w:pPr>
      <w:r>
        <w:rPr>
          <w:rFonts w:ascii="Times New Roman" w:hAnsi="Times New Roman" w:eastAsia="Times New Roman" w:cs="Times New Roman"/>
          <w:color w:val="000000"/>
          <w:sz w:val="24"/>
        </w:rPr>
        <w:t xml:space="preserve">3.4.1 Heuristic prepass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288" w:lineRule="auto" w:after="6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288" w:lineRule="auto" w:after="6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288" w:lineRule="auto" w:after="60"/>
        <w:ind w:firstLine="283"/>
        <w:jc w:val="both"/>
      </w:pPr>
      <w:r>
        <w:rPr>
          <w:rFonts w:ascii="Times New Roman" w:hAnsi="Times New Roman" w:eastAsia="Times New Roman" w:cs="Times New Roman"/>
          <w:color w:val="000000"/>
          <w:sz w:val="24"/>
        </w:rPr>
        <w:t xml:space="preserve">3.5 Cover Letter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288" w:lineRule="auto" w:after="6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288" w:lineRule="auto" w:after="60"/>
        <w:ind w:firstLine="283"/>
        <w:jc w:val="both"/>
      </w:pPr>
      <w:r>
        <w:rPr>
          <w:rFonts w:ascii="Times New Roman" w:hAnsi="Times New Roman" w:eastAsia="Times New Roman" w:cs="Times New Roman"/>
          <w:color w:val="000000"/>
          <w:sz w:val="24"/>
        </w:rPr>
        <w:t xml:space="preserve">3.6 Interview Q&amp;A</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288" w:lineRule="auto" w:after="6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288" w:lineRule="auto" w:after="6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a cheaper Gemini model (configurable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and returns structured feedback. This is the only place in the system where the LLM model is overridden; the override exists because practice feedback is invoked frequently during a single user session and the cost of using the same model as the rest of the system would be disproportionate to the value.</w:t>
      </w:r>
    </w:p>
    <w:bookmarkEnd w:id="79"/>
    <w:bookmarkEnd w:id="80"/>
    <w:bookmarkStart w:id="82" w:name="portfolio-planner"/>
    <w:p>
      <w:pPr>
        <w:pStyle w:val="Heading2"/>
        <w:spacing w:line="288" w:lineRule="auto" w:after="60"/>
        <w:ind w:firstLine="283"/>
        <w:jc w:val="both"/>
      </w:pPr>
      <w:r>
        <w:rPr>
          <w:rFonts w:ascii="Times New Roman" w:hAnsi="Times New Roman" w:eastAsia="Times New Roman" w:cs="Times New Roman"/>
          <w:color w:val="000000"/>
          <w:sz w:val="24"/>
        </w:rPr>
        <w:t xml:space="preserve">3.7 Portfolio Planner</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288" w:lineRule="auto" w:after="6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288" w:lineRule="auto" w:after="6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288" w:lineRule="auto" w:after="6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absorbs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288" w:lineRule="auto" w:after="6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above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288" w:lineRule="auto" w:after="6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288" w:lineRule="auto" w:after="6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288" w:lineRule="auto" w:after="6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288" w:lineRule="auto" w:after="60"/>
        <w:ind w:firstLine="283"/>
        <w:jc w:val="both"/>
      </w:pPr>
      <w:r>
        <w:rPr>
          <w:rFonts w:ascii="Times New Roman" w:hAnsi="Times New Roman" w:eastAsia="Times New Roman" w:cs="Times New Roman"/>
          <w:color w:val="000000"/>
          <w:sz w:val="24"/>
        </w:rPr>
        <w:t xml:space="preserve">4.1.1 Evaluation dataset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288" w:lineRule="auto" w:after="6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are lexically disjoint.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288" w:lineRule="auto" w:after="6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288" w:lineRule="auto" w:after="60"/>
        <w:ind w:firstLine="283"/>
        <w:jc w:val="both"/>
      </w:pPr>
      <w:r>
        <w:rPr>
          <w:rFonts w:ascii="Times New Roman" w:hAnsi="Times New Roman" w:eastAsia="Times New Roman" w:cs="Times New Roman"/>
          <w:color w:val="000000"/>
          <w:sz w:val="24"/>
        </w:rPr>
        <w:t xml:space="preserve">4.1.2 Metrics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from retrieval-quality discussion [6] is used only as a reference anchor, not as a formal hypothesis.</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288" w:lineRule="auto" w:after="60"/>
        <w:ind w:firstLine="283"/>
        <w:jc w:val="both"/>
      </w:pPr>
      <w:r>
        <w:rPr>
          <w:rFonts w:ascii="Times New Roman" w:hAnsi="Times New Roman" w:eastAsia="Times New Roman" w:cs="Times New Roman"/>
          <w:color w:val="000000"/>
          <w:sz w:val="24"/>
        </w:rPr>
        <w:t xml:space="preserve">4.1.3 Controls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Three controls isolate the comparison. The same content hash is used for both modes per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The same heuristic implementation, selected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w:t>
      </w:r>
      <w:r>
        <w:rPr>
          <w:rFonts w:ascii="Times New Roman" w:hAnsi="Times New Roman" w:eastAsia="Times New Roman" w:cs="Times New Roman"/>
          <w:color w:val="000000"/>
          <w:sz w:val="24"/>
        </w:rPr>
        <w:t xml:space="preserve">, is used by both modes, so the only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temperature is fixed at 0.0, removing sampling variance from the blended-mode run.</w:t>
      </w:r>
    </w:p>
    <w:bookmarkEnd w:id="88"/>
    <w:bookmarkStart w:id="89" w:name="threats-to-validity"/>
    <w:p>
      <w:pPr>
        <w:pStyle w:val="Heading3"/>
        <w:spacing w:line="288" w:lineRule="auto" w:after="60"/>
        <w:ind w:firstLine="283"/>
        <w:jc w:val="both"/>
      </w:pPr>
      <w:r>
        <w:rPr>
          <w:rFonts w:ascii="Times New Roman" w:hAnsi="Times New Roman" w:eastAsia="Times New Roman" w:cs="Times New Roman"/>
          <w:color w:val="000000"/>
          <w:sz w:val="24"/>
        </w:rPr>
        <w:t xml:space="preserve">4.1.4 Threats to validity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heuristic payload is locked inside the blended prompt,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288" w:lineRule="auto" w:after="6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288" w:lineRule="auto" w:after="6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288" w:lineRule="auto" w:after="6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288" w:lineRule="auto" w:after="6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288" w:lineRule="auto" w:after="6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Production uses a bundled ESCO-derived baseline IDF; the evaluation harness recomputes IDF from the job descriptions in the benchmark.</w:t>
      </w:r>
    </w:p>
    <w:bookmarkEnd w:id="91"/>
    <w:bookmarkStart w:id="92" w:name="esco-aligned-skill-normalisation"/>
    <w:p>
      <w:pPr>
        <w:pStyle w:val="Heading3"/>
        <w:spacing w:line="288" w:lineRule="auto" w:after="6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A curated ESCO subset of roughly one hundred digital and creative-industry entries is bundled as JSON and structured for expansion to broader production coverage. Resume and job-description text are scanned for surface variants, mapped to canonical labels, and intersected.</w:t>
      </w:r>
    </w:p>
    <w:p>
      <w:pPr>
        <w:pStyle w:val="BodyText"/>
        <w:spacing w:line="288" w:lineRule="auto" w:after="6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288" w:lineRule="auto" w:after="60"/>
        <w:ind w:firstLine="283"/>
        <w:jc w:val="both"/>
      </w:pPr>
      <w:r>
        <w:rPr>
          <w:rFonts w:ascii="Times New Roman" w:hAnsi="Times New Roman" w:eastAsia="Times New Roman" w:cs="Times New Roman"/>
          <w:color w:val="000000"/>
          <w:sz w:val="24"/>
        </w:rPr>
        <w:t xml:space="preserve">4.2.3 Fuzzy matching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For skills or keywords outside the bundled ESCO subset, v2 applies a Levenshtein-style fuzzy pass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token.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288" w:lineRule="auto" w:after="6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288" w:lineRule="auto" w:after="60"/>
        <w:ind w:firstLine="283"/>
        <w:jc w:val="both"/>
      </w:pPr>
      <w:r>
        <w:rPr>
          <w:rFonts w:ascii="Times New Roman" w:hAnsi="Times New Roman" w:eastAsia="Times New Roman" w:cs="Times New Roman"/>
          <w:color w:val="000000"/>
          <w:sz w:val="24"/>
        </w:rPr>
        <w:t xml:space="preserve">4.2.5 Quantification regex</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288" w:lineRule="auto" w:after="60"/>
        <w:ind w:firstLine="283"/>
        <w:jc w:val="both"/>
      </w:pPr>
      <w:r>
        <w:rPr>
          <w:rFonts w:ascii="Times New Roman" w:hAnsi="Times New Roman" w:eastAsia="Times New Roman" w:cs="Times New Roman"/>
          <w:color w:val="000000"/>
          <w:sz w:val="24"/>
        </w:rPr>
        <w:t xml:space="preserve">4.2.6 Action-verb scoring</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 curated action-verb dictionary of approximately 190 entries compiled from university career-services resources.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288" w:lineRule="auto" w:after="60"/>
        <w:ind w:firstLine="283"/>
        <w:jc w:val="both"/>
      </w:pPr>
      <w:r>
        <w:rPr>
          <w:rFonts w:ascii="Times New Roman" w:hAnsi="Times New Roman" w:eastAsia="Times New Roman" w:cs="Times New Roman"/>
          <w:color w:val="000000"/>
          <w:sz w:val="24"/>
        </w:rPr>
        <w:t xml:space="preserve">4.2.7 Score combination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Section 4.3.5 reports an equal-weight sensitivity check.</w:t>
      </w:r>
    </w:p>
    <w:bookmarkEnd w:id="97"/>
    <w:bookmarkStart w:id="98" w:name="implementation-notes"/>
    <w:p>
      <w:pPr>
        <w:pStyle w:val="Heading3"/>
        <w:spacing w:line="288" w:lineRule="auto" w:after="60"/>
        <w:ind w:firstLine="283"/>
        <w:jc w:val="both"/>
      </w:pPr>
      <w:r>
        <w:rPr>
          <w:rFonts w:ascii="Times New Roman" w:hAnsi="Times New Roman" w:eastAsia="Times New Roman" w:cs="Times New Roman"/>
          <w:color w:val="000000"/>
          <w:sz w:val="24"/>
        </w:rPr>
        <w:t xml:space="preserve">4.2.8 Implementation notes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288" w:lineRule="auto" w:after="6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bookmarkEnd w:id="99"/>
    <w:bookmarkEnd w:id="100"/>
    <w:bookmarkStart w:id="112" w:name="results"/>
    <w:p>
      <w:pPr>
        <w:pStyle w:val="Heading2"/>
        <w:spacing w:line="288" w:lineRule="auto" w:after="60"/>
        <w:ind w:firstLine="283"/>
        <w:jc w:val="both"/>
      </w:pPr>
      <w:r>
        <w:rPr>
          <w:rFonts w:ascii="Times New Roman" w:hAnsi="Times New Roman" w:eastAsia="Times New Roman" w:cs="Times New Roman"/>
          <w:color w:val="000000"/>
          <w:sz w:val="24"/>
        </w:rPr>
        <w:t xml:space="preserve">4.3 Results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288" w:lineRule="auto" w:after="60"/>
        <w:ind w:firstLine="283"/>
        <w:jc w:val="both"/>
      </w:pPr>
      <w:r>
        <w:rPr>
          <w:rFonts w:ascii="Times New Roman" w:hAnsi="Times New Roman" w:eastAsia="Times New Roman" w:cs="Times New Roman"/>
          <w:color w:val="000000"/>
          <w:sz w:val="24"/>
        </w:rPr>
        <w:t xml:space="preserve">4.3.1 Score agreement</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4.1 compares post-mitigation and leakage-version agreement.</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613"/>
        <w:gridCol w:w="2493"/>
        <w:gridCol w:w="3813"/>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(leakage)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0.727 [95% CI 0.609, 0.814]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ρ</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0.708</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Kendall τ</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0.669</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0.526</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table explains the result: lexical leakage added noise to some non-keyword axes, while the disjoint construction preserved legitimate canonical skill overlap.</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957"/>
        <w:gridCol w:w="2523"/>
        <w:gridCol w:w="2436"/>
        <w:gridCol w:w="1044"/>
        <w:gridCol w:w="957"/>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Sub-score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Kendall τ</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0.937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0.845</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impact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0.332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clarity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0.395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0.289</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completeness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0.691</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0.793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0.689</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using r(LLM-only, heuristic) = 0.627, the equal-variance prediction is r ≈ 0.857, close to the observed r(blended, heuristic) = 0.836.</w:t>
      </w:r>
    </w:p>
    <w:p>
      <w:pPr>
        <w:pStyle w:val="BodyText"/>
        <w:spacing w:line="288" w:lineRule="auto" w:after="6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288" w:lineRule="auto" w:after="6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locked-payload design makes the LLM-only score recoverable as:</w:t>
      </w:r>
    </w:p>
    <w:p>
      <w:pPr>
        <w:pStyle w:val="BodyText"/>
        <w:spacing w:line="288" w:lineRule="auto" w:after="60"/>
        <w:ind w:firstLine="283"/>
        <w:jc w:val="both"/>
      </w:pPr>
      <w:r>
        <w:rPr>
          <w:rFonts w:ascii="Times New Roman" w:hAnsi="Times New Roman" w:eastAsia="Times New Roman" w:cs="Times New Roman"/>
          <w:color w:val="000000"/>
          <w:sz w:val="24"/>
        </w:rPr>
        <w:t xml:space="preserve">LLM-only = (blended − 0.4 × heuristic) / 0.6</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Pair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 (cluster bootstrap)</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LLM-only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[0.476, 0.765]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LLM-only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0.952</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[0.923, 0.973]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288" w:lineRule="auto" w:after="6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288" w:lineRule="auto" w:after="6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4.2 reports the distribution of overall scores across all 100 pairs.</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71.84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72.66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Std. dev.</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7.08</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73.00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74.50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58.00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59.00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81.00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82.00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 distance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0.100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Figure 4.1 visualises the two distributions.</w:t>
      </w:r>
    </w:p>
    <w:p>
      <w:pPr>
        <w:pStyle w:val="CaptionedFigure"/>
        <w:keepNext/>
        <w:spacing w:before="60" w:after="40"/>
        <w:jc w:val="center"/>
      </w:pPr>
      <w:r>
        <w:drawing>
          <wp:inline>
            <wp:extent cx="4031999" cy="2851798"/>
            <wp:effectExtent b="0" l="0" r="0" t="0"/>
            <wp:docPr descr="Figure 4.1: Distribution of overall scores across 100 (resume, JD) pairs, by scoring mode."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4.1: Distribution of overall scores across 100 (resume, JD) pairs, by scoring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73.45, median 75.0). Bottom: blended mode (mean 70.84, median 72.0). The dashed vertical line marks the mean and the dotted vertical line marks the median in each panel.</w:t>
      </w:r>
    </w:p>
    <w:bookmarkEnd w:id="106"/>
    <w:bookmarkStart w:id="107" w:name="latency"/>
    <w:p>
      <w:pPr>
        <w:pStyle w:val="Heading3"/>
        <w:spacing w:line="288" w:lineRule="auto" w:after="60"/>
        <w:ind w:firstLine="283"/>
        <w:jc w:val="both"/>
      </w:pPr>
      <w:r>
        <w:rPr>
          <w:rFonts w:ascii="Times New Roman" w:hAnsi="Times New Roman" w:eastAsia="Times New Roman" w:cs="Times New Roman"/>
          <w:color w:val="000000"/>
          <w:sz w:val="24"/>
        </w:rPr>
        <w:t xml:space="preserve">4.3.3 Latency</w:t>
      </w:r>
    </w:p>
    <w:p>
      <w:pPr>
        <w:pStyle w:val="FirstParagraph"/>
        <w:keepLines/>
        <w:spacing w:line="288" w:lineRule="auto" w:after="60"/>
        <w:ind w:firstLine="0"/>
        <w:jc w:val="center"/>
      </w:pPr>
      <w:r>
        <w:rPr>
          <w:rFonts w:ascii="Times New Roman" w:hAnsi="Times New Roman" w:eastAsia="Times New Roman" w:cs="Times New Roman"/>
          <w:i/>
          <w:color w:val="000000"/>
          <w:sz w:val="24"/>
        </w:rPr>
        <w:t xml:space="preserve">Table 4.3 reports service-side latency for one tool invocation.</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Latency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18 232.1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25.5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24 713.7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770×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Maximum observed</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65 926.6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34.1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1 933×</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retry-after-timeout case handled by the retry policy. Heuristic v2 runs in tens of milliseconds and satisfies the N1a target from Section 2.1.2.</w:t>
      </w:r>
    </w:p>
    <w:bookmarkEnd w:id="107"/>
    <w:bookmarkStart w:id="108" w:name="per-call-cost"/>
    <w:p>
      <w:pPr>
        <w:pStyle w:val="Heading3"/>
        <w:spacing w:line="288" w:lineRule="auto" w:after="60"/>
        <w:ind w:firstLine="283"/>
        <w:jc w:val="both"/>
      </w:pPr>
      <w:r>
        <w:rPr>
          <w:rFonts w:ascii="Times New Roman" w:hAnsi="Times New Roman" w:eastAsia="Times New Roman" w:cs="Times New Roman"/>
          <w:color w:val="000000"/>
          <w:sz w:val="24"/>
        </w:rPr>
        <w:t xml:space="preserve">4.3.4 Per-call cost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Cost item</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608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Output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1 118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Per-call USD (avg.)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$0.00038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Per-call USD (95th pct.)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$0.00042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1 000 calls / day projected monthly bill</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$11.43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estimator follows the ~4 characters per token rule and does not include all server-side prompt overhead, so the claim is order-of-magnitude rather than billing-grade. At 1 000 analyses per day, blended mode projects to roughly $11.43 per month in LLM-side spend on this dataset; heuristic mode is free on the LLM side.</w:t>
      </w:r>
    </w:p>
    <w:p>
      <w:pPr>
        <w:pStyle w:val="BodyText"/>
        <w:spacing w:line="288" w:lineRule="auto" w:after="6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288" w:lineRule="auto" w:after="6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author-selected weights from Section 4.2.7 are compared with equal weights recomputed offline from the same per-sub-score breakdown.</w:t>
      </w:r>
    </w:p>
    <w:tbl>
      <w:tblPr>
        <w:tblStyle w:val="Table"/>
        <w:tblW w:type="auto" w:w="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Weighting</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Author-selected (0.30/0.25/0.15/0.15/0.15)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Equal (0.20 across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0.813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0.823</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Pearson moves by Δ = −0.023 and Spearman by Δ = −0.024. Both remain above the 0.7 reference threshold, so the result is not dependent on the exact weighting choice.</w:t>
      </w:r>
    </w:p>
    <w:bookmarkEnd w:id="109"/>
    <w:bookmarkStart w:id="110" w:name="heuristic-enhancement-ablation-stage-h"/>
    <w:p>
      <w:pPr>
        <w:pStyle w:val="Heading3"/>
        <w:spacing w:line="288" w:lineRule="auto" w:after="6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288" w:lineRule="auto" w:after="6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1131"/>
        <w:gridCol w:w="3142"/>
        <w:gridCol w:w="1005"/>
        <w:gridCol w:w="1508"/>
        <w:gridCol w:w="1131"/>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Variant</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color w:val="000000"/>
                <w:sz w:val="18"/>
              </w:rPr>
              <w:t xml:space="preserve">vs LLM-only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Δ vs v2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heuristic-v2 (BM25 + ESCO + fuzzy)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baseline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with no Stage H features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bigram / trigram (H.4)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0.583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SBERT semantic fallback (H.1)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[0.452, 0.759]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STAR detection (H.2)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[0.463, 0.755]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ESCO expansion 107 → 354 (H.5)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0.617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[0.461, 0.752]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−0.009</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 cross-axis coherence (H.3)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0.605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[0.438, 0.746]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−0.022</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(full,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[0.415, 0.735]</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−0.036</w:t>
            </w:r>
          </w:p>
        </w:tc>
      </w:tr>
    </w:tbl>
    <w:p>
      <w:pPr>
        <w:pStyle w:val="BodyText"/>
        <w:spacing w:line="288" w:lineRule="auto" w:after="6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w:t>
      </w:r>
    </w:p>
    <w:p>
      <w:pPr>
        <w:pStyle w:val="BodyText"/>
        <w:spacing w:line="288" w:lineRule="auto" w:after="6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288" w:lineRule="auto" w:after="6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288" w:lineRule="auto" w:after="6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288" w:lineRule="auto" w:after="6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The deterministic baseline is therefore strong enough to justify deployment as a fallback and runtime mode, while the blended mode remains valuable for qualitative explanations and clarity-sensitive judgement.</w:t>
      </w:r>
    </w:p>
    <w:p>
      <w:pPr>
        <w:pStyle w:val="BodyText"/>
        <w:spacing w:line="288" w:lineRule="auto" w:after="6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288" w:lineRule="auto" w:after="6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288" w:lineRule="auto" w:after="6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spacing w:line="288" w:lineRule="auto" w:after="60"/>
        <w:ind w:firstLine="283"/>
        <w:jc w:val="both"/>
      </w:pPr>
      <w:r>
        <w:rPr>
          <w:rFonts w:ascii="Times New Roman" w:hAnsi="Times New Roman" w:eastAsia="Times New Roman" w:cs="Times New Roman"/>
          <w:color w:val="000000"/>
          <w:sz w:val="24"/>
        </w:rPr>
        <w:t xml:space="preserve">Chapter 5 — Conclusions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spacing w:line="288" w:lineRule="auto" w:after="60"/>
        <w:ind w:firstLine="283"/>
        <w:jc w:val="both"/>
      </w:pPr>
      <w:r>
        <w:rPr>
          <w:rFonts w:ascii="Times New Roman" w:hAnsi="Times New Roman" w:eastAsia="Times New Roman" w:cs="Times New Roman"/>
          <w:color w:val="000000"/>
          <w:sz w:val="24"/>
        </w:rPr>
        <w:t xml:space="preserve">5.1 Results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Three results were obtained.</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A deployed integrated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A defendable heuristic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Chapter 4 introduced strong heuristic v2, a strictly non-neural scoring pipeline based on TF–IDF and BM25 [5, 6], ESCO-aligned skill normalisation [8, 9, 12], Levenshtein-style fuzzy matching [7], section-weighted evidence [18], quantification detection, and action-verb scoring. The score-combination weights are author-selected but were checked through the sensitivity analysis in Section 4.3.5.</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A characterisation of the heuristic-versus-blended trade-off.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100 post-mitigation synthetic resume/job-description pairs,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and Spearman ρ = 0.847, while running much faster (median 25.5 ms versus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showing that the headline agreement includes the structural 0.40 heuristic component in the blended score. Agreement is strongest on keywords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and weakest on clarity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which explains why the heuristic is useful as a deterministic baseline while the blended mode remains valuable for prose-quality judgement.</w:t>
      </w:r>
    </w:p>
    <w:p>
      <w:pPr>
        <w:pStyle w:val="BodyText"/>
        <w:spacing w:line="288" w:lineRule="auto" w:after="60"/>
        <w:ind w:firstLine="283"/>
        <w:jc w:val="both"/>
      </w:pPr>
      <w:r>
        <w:rPr>
          <w:rFonts w:ascii="Times New Roman" w:hAnsi="Times New Roman" w:eastAsia="Times New Roman" w:cs="Times New Roman"/>
          <w:color w:val="000000"/>
          <w:sz w:val="24"/>
        </w:rPr>
        <w:t xml:space="preserve">The main engineering lesson is that the shared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should have been introduced earlier. The first analytical tools were initially implemented with duplicated cache, persistence, and observability logic; refactoring them into one pipeline reduced later implementation risk and made the comparative study easier to run.</w:t>
      </w:r>
    </w:p>
    <w:p>
      <w:pPr>
        <w:pStyle w:val="BodyText"/>
        <w:spacing w:line="288" w:lineRule="auto" w:after="60"/>
        <w:ind w:firstLine="283"/>
        <w:jc w:val="both"/>
      </w:pPr>
      <w:r>
        <w:rPr>
          <w:rFonts w:ascii="Times New Roman" w:hAnsi="Times New Roman" w:eastAsia="Times New Roman" w:cs="Times New Roman"/>
          <w:color w:val="000000"/>
          <w:sz w:val="24"/>
        </w:rPr>
        <w:t xml:space="preserve">The main research lesson is that a deterministic baseline should be measured rather than treated as a fallback of last resort. Before the comparison, heuristic mode existed mainly as a reliability mechanism. After the study, it can be described more precisely: weaker on prose-quality judgement, but strong enough on aggregate scoring to justify its place in the deployed system.</w:t>
      </w:r>
    </w:p>
    <w:bookmarkEnd w:id="115"/>
    <w:bookmarkStart w:id="116" w:name="limitations"/>
    <w:p>
      <w:pPr>
        <w:pStyle w:val="Heading2"/>
        <w:spacing w:line="288" w:lineRule="auto" w:after="60"/>
        <w:ind w:firstLine="283"/>
        <w:jc w:val="both"/>
      </w:pPr>
      <w:r>
        <w:rPr>
          <w:rFonts w:ascii="Times New Roman" w:hAnsi="Times New Roman" w:eastAsia="Times New Roman" w:cs="Times New Roman"/>
          <w:color w:val="000000"/>
          <w:sz w:val="24"/>
        </w:rPr>
        <w:t xml:space="preserve">5.2 Limitations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empirical claim is bounded by the evaluation design. The dataset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(English) and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30 resumes were synthesised by one author), so the result is a within-author baseline rather than a cross-population hiring claim. The blended mode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Google Vertex AI Gemini 2.5 Flash, and should not be assumed to behave identically with Claude, GPT, Llama, or another hosted model.</w:t>
      </w:r>
    </w:p>
    <w:p>
      <w:pPr>
        <w:pStyle w:val="BodyText"/>
        <w:spacing w:line="288" w:lineRule="auto" w:after="60"/>
        <w:ind w:firstLine="283"/>
        <w:jc w:val="both"/>
      </w:pPr>
      <w:r>
        <w:rPr>
          <w:rFonts w:ascii="Times New Roman" w:hAnsi="Times New Roman" w:eastAsia="Times New Roman" w:cs="Times New Roman"/>
          <w:color w:val="000000"/>
          <w:sz w:val="24"/>
        </w:rP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spacing w:line="288" w:lineRule="auto" w:after="60"/>
        <w:ind w:firstLine="283"/>
        <w:jc w:val="both"/>
      </w:pPr>
      <w:r>
        <w:rPr>
          <w:rFonts w:ascii="Times New Roman" w:hAnsi="Times New Roman" w:eastAsia="Times New Roman" w:cs="Times New Roman"/>
          <w:color w:val="000000"/>
          <w:sz w:val="24"/>
        </w:rPr>
        <w:t xml:space="preserve">Finally, the system is a thesis demonstration rather than a sustainable commercial product. The monetisation strategy described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deliberately deferred to a post-thesis V1.1 release and is not evaluated here.</w:t>
      </w:r>
    </w:p>
    <w:p>
      <w:pPr>
        <w:pStyle w:val="BodyText"/>
        <w:spacing w:line="288" w:lineRule="auto" w:after="60"/>
        <w:ind w:firstLine="283"/>
        <w:jc w:val="both"/>
      </w:pPr>
      <w:r>
        <w:rPr>
          <w:rFonts w:ascii="Times New Roman" w:hAnsi="Times New Roman" w:eastAsia="Times New Roman" w:cs="Times New Roman"/>
          <w:color w:val="000000"/>
          <w:sz w:val="24"/>
        </w:rP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spacing w:line="288" w:lineRule="auto" w:after="60"/>
        <w:ind w:firstLine="283"/>
        <w:jc w:val="both"/>
      </w:pPr>
      <w:r>
        <w:rPr>
          <w:rFonts w:ascii="Times New Roman" w:hAnsi="Times New Roman" w:eastAsia="Times New Roman" w:cs="Times New Roman"/>
          <w:color w:val="000000"/>
          <w:sz w:val="24"/>
        </w:rP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spacing w:line="288" w:lineRule="auto" w:after="60"/>
        <w:ind w:firstLine="283"/>
        <w:jc w:val="both"/>
      </w:pPr>
      <w:r>
        <w:rPr>
          <w:rFonts w:ascii="Times New Roman" w:hAnsi="Times New Roman" w:eastAsia="Times New Roman" w:cs="Times New Roman"/>
          <w:color w:val="000000"/>
          <w:sz w:val="24"/>
        </w:rPr>
        <w:t xml:space="preserve">5.3 Future development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Future work follows directly from these limitations.</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Polish-language coverage.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is multilingual, but the current bundled subset uses English labels. Adding Polish labels would make the system more relevant to a Wrocław-based deployment. The required change is contained: language detection, Polish-aware preprocessing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quality_signals_v2.py</w:t>
      </w:r>
      <w:r>
        <w:rPr>
          <w:rFonts w:ascii="Times New Roman" w:hAnsi="Times New Roman" w:eastAsia="Times New Roman" w:cs="Times New Roman"/>
          <w:color w:val="000000"/>
          <w:sz w:val="24"/>
        </w:rPr>
        <w:t xml:space="preserve">, and locale-specific prompt branches.</w:t>
      </w:r>
    </w:p>
    <w:p>
      <w:pPr>
        <w:pStyle w:val="BodyText"/>
        <w:spacing w:line="288" w:lineRule="auto" w:after="60"/>
        <w:ind w:firstLine="283"/>
        <w:jc w:val="both"/>
      </w:pPr>
      <w:r>
        <w:rPr>
          <w:rFonts w:ascii="Times New Roman" w:hAnsi="Times New Roman" w:eastAsia="Times New Roman" w:cs="Times New Roman"/>
          <w:color w:val="000000"/>
          <w:sz w:val="24"/>
        </w:rP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spacing w:line="288" w:lineRule="auto" w:after="60"/>
        <w:ind w:firstLine="283"/>
        <w:jc w:val="both"/>
      </w:pPr>
      <w:r>
        <w:rPr>
          <w:rFonts w:ascii="Times New Roman" w:hAnsi="Times New Roman" w:eastAsia="Times New Roman" w:cs="Times New Roman"/>
          <w:color w:val="000000"/>
          <w:sz w:val="24"/>
        </w:rP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Sentence-transformer intermediate 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third scoring mode could sit between strict classical IR and full LLM inference: a sentence-transformer semantic matcher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[20, 21]. Stage H tested this idea as an ablation, but on the synthetic benchmark the SBERT-only variant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versus v2) and the full v3 stack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These results suggest that promotion to production should wait for evaluation on real-world resumes and job descriptions with more prose variation than the synthetic templates expose.</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Retrieval-augmented 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spacing w:line="288" w:lineRule="auto" w:after="60"/>
        <w:ind w:firstLine="283"/>
        <w:jc w:val="both"/>
      </w:pPr>
      <w:r>
        <w:rPr>
          <w:rFonts w:ascii="Times New Roman" w:hAnsi="Times New Roman" w:eastAsia="Times New Roman" w:cs="Times New Roman"/>
          <w:color w:val="000000"/>
          <w:sz w:val="24"/>
        </w:rP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spacing w:line="288" w:lineRule="auto" w:after="60"/>
        <w:ind w:firstLine="283"/>
        <w:jc w:val="both"/>
      </w:pPr>
      <w:r>
        <w:rPr>
          <w:rFonts w:ascii="Times New Roman" w:hAnsi="Times New Roman" w:eastAsia="Times New Roman" w:cs="Times New Roman"/>
          <w:color w:val="000000"/>
          <w:sz w:val="24"/>
        </w:rPr>
        <w:t xml:space="preserve">The retrieval layer would also help with the approved-topic phrase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 job-market trends”</w:t>
      </w:r>
      <w:r>
        <w:rPr>
          <w:rFonts w:ascii="Times New Roman" w:hAnsi="Times New Roman" w:eastAsia="Times New Roman" w:cs="Times New Roman"/>
          <w:color w:val="000000"/>
          <w:sz w:val="24"/>
        </w:rP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spacing w:line="288" w:lineRule="auto" w:after="60"/>
        <w:ind w:firstLine="283"/>
        <w:jc w:val="both"/>
      </w:pPr>
      <w:r>
        <w:rPr>
          <w:rFonts w:ascii="Times New Roman" w:hAnsi="Times New Roman" w:eastAsia="Times New Roman" w:cs="Times New Roman"/>
          <w:b/>
          <w:bCs/>
          <w:color w:val="000000"/>
          <w:sz w:val="24"/>
        </w:rPr>
        <w:t xml:space="preserve">Redis-backed cache.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Replacing the in-memory cache with Redis would allow cache sharing across backend processes and is the smallest operational upgrade once traffic exceeds a single-instance deployment.</w:t>
      </w:r>
    </w:p>
    <w:p>
      <w:pPr>
        <w:pStyle w:val="BodyText"/>
        <w:spacing w:line="288" w:lineRule="auto" w:after="60"/>
        <w:ind w:firstLine="283"/>
        <w:jc w:val="both"/>
      </w:pPr>
      <w:r>
        <w:rPr>
          <w:rFonts w:ascii="Times New Roman" w:hAnsi="Times New Roman" w:eastAsia="Times New Roman" w:cs="Times New Roman"/>
          <w:color w:val="000000"/>
          <w:sz w:val="24"/>
        </w:rP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spacing w:line="288" w:lineRule="auto" w:after="60"/>
        <w:ind w:firstLine="283"/>
        <w:jc w:val="both"/>
      </w:pPr>
      <w:r>
        <w:rPr>
          <w:rFonts w:ascii="Times New Roman" w:hAnsi="Times New Roman" w:eastAsia="Times New Roman" w:cs="Times New Roman"/>
          <w:color w:val="000000"/>
          <w:sz w:val="24"/>
        </w:rPr>
        <w:t xml:space="preserve">The thesis contributions are therefore an integrated deployed career-support system, a transparent non-neural heuristic baseline, and a measured comparison of that baseline against a language-model-augmented mode on score agreement, latency, and cost. The live deployment and administrative scoring-mode endpoint remain available for diploma-defence demonstration.</w:t>
      </w:r>
    </w:p>
    <w:p>
      <w:pPr>
        <w:pStyle w:val="BodyText"/>
        <w:spacing w:line="288" w:lineRule="auto" w:after="60"/>
        <w:ind w:firstLine="283"/>
        <w:jc w:val="both"/>
      </w:pPr>
      <w:r>
        <w:rPr>
          <w:rFonts w:ascii="Times New Roman" w:hAnsi="Times New Roman" w:eastAsia="Times New Roman" w:cs="Times New Roman"/>
          <w:color w:val="000000"/>
          <w:sz w:val="24"/>
        </w:rPr>
        <w:t xml:space="preserve">The work is ready for supervisor review once the final document build passes page-count, citation, cross-reference, and visual checks. If the project continues after submission, the strongest next step is a broader evaluation set: real resumes, real job descriptions, multilingual inputs, and fairness-relevant annotations.</w:t>
      </w:r>
    </w:p>
    <w:p>
      <w:pPr>
        <w:pStyle w:val="BodyText"/>
        <w:spacing w:line="288" w:lineRule="auto" w:after="60"/>
        <w:ind w:firstLine="283"/>
        <w:jc w:val="both"/>
      </w:pPr>
      <w:r>
        <w:rPr>
          <w:rFonts w:ascii="Times New Roman" w:hAnsi="Times New Roman" w:eastAsia="Times New Roman" w:cs="Times New Roman"/>
          <w:color w:val="000000"/>
          <w:sz w:val="24"/>
        </w:rP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29" w:name="bibliography"/>
    <w:p>
      <w:pPr>
        <w:pStyle w:val="Heading1"/>
        <w:spacing w:line="288" w:lineRule="auto" w:after="60"/>
        <w:ind w:firstLine="283"/>
        <w:jc w:val="both"/>
      </w:pPr>
      <w:r>
        <w:rPr>
          <w:rFonts w:ascii="Times New Roman" w:hAnsi="Times New Roman" w:eastAsia="Times New Roman" w:cs="Times New Roman"/>
          <w:color w:val="000000"/>
          <w:sz w:val="24"/>
        </w:rPr>
        <w:t xml:space="preserve">Bibliography</w:t>
      </w:r>
    </w:p>
    <w:bookmarkStart w:id="119" w:name="Xe524d447c5cf25a4d8e2fc35a266a2d3c4bfbe5"/>
    <w:p>
      <w:pPr>
        <w:pStyle w:val="Heading2"/>
        <w:spacing w:line="288" w:lineRule="auto" w:after="6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288" w:lineRule="auto" w:after="6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288" w:lineRule="auto" w:after="6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288" w:lineRule="auto" w:after="60"/>
        <w:jc w:val="both"/>
      </w:pPr>
      <w:r>
        <w:rPr>
          <w:rFonts w:ascii="Times New Roman" w:hAnsi="Times New Roman" w:eastAsia="Times New Roman" w:cs="Times New Roman"/>
          <w:color w:val="000000"/>
          <w:sz w:val="24"/>
        </w:rPr>
        <w:t xml:space="preserve">[3] A. M. Rahmani, B. Rezazadeh, M. Haghparast, W.-C. Chang, and S. G. 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“Applications of artificial intelligence in the economy, including applications in stock trading, market analysis, and risk management,”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Access</w:t>
      </w:r>
      <w:r>
        <w:rPr>
          <w:rFonts w:ascii="Times New Roman" w:hAnsi="Times New Roman" w:eastAsia="Times New Roman" w:cs="Times New Roman"/>
          <w:color w:val="000000"/>
          <w:sz w:val="24"/>
        </w:rPr>
        <w:t xml:space="preserve">, vol. 11, pp. 80769–80793, 2023. https://doi.org/10.1109/ACCESS.2023.3300036</w:t>
      </w:r>
    </w:p>
    <w:p>
      <w:pPr>
        <w:pStyle w:val="BodyText"/>
        <w:spacing w:line="288" w:lineRule="auto" w:after="6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9"/>
    <w:bookmarkStart w:id="120" w:name="foundational-information-retrieval"/>
    <w:p>
      <w:pPr>
        <w:pStyle w:val="Heading2"/>
        <w:spacing w:line="288" w:lineRule="auto" w:after="6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288" w:lineRule="auto" w:after="6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288" w:lineRule="auto" w:after="6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288" w:lineRule="auto" w:after="6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20"/>
    <w:bookmarkStart w:id="121" w:name="Xdd898e929631c1ac7dcaafa863450eac8c4687c"/>
    <w:p>
      <w:pPr>
        <w:pStyle w:val="Heading2"/>
        <w:spacing w:line="288" w:lineRule="auto" w:after="6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288" w:lineRule="auto" w:after="6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288" w:lineRule="auto" w:after="6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288" w:lineRule="auto" w:after="6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288" w:lineRule="auto" w:after="6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288" w:lineRule="auto" w:after="6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288" w:lineRule="auto" w:after="6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21"/>
    <w:bookmarkStart w:id="122" w:name="X1796bfef32d736987f1174fc0e433d96cea39d8"/>
    <w:p>
      <w:pPr>
        <w:pStyle w:val="Heading2"/>
        <w:spacing w:line="288" w:lineRule="auto" w:after="6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288" w:lineRule="auto" w:after="6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22"/>
    <w:bookmarkStart w:id="123" w:name="ai-based-career-recommendation-systems"/>
    <w:p>
      <w:pPr>
        <w:pStyle w:val="Heading2"/>
        <w:spacing w:line="288" w:lineRule="auto" w:after="6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288" w:lineRule="auto" w:after="6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23"/>
    <w:bookmarkStart w:id="124" w:name="large-language-models-in-recruitment"/>
    <w:p>
      <w:pPr>
        <w:pStyle w:val="Heading2"/>
        <w:spacing w:line="288" w:lineRule="auto" w:after="6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288" w:lineRule="auto" w:after="6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288" w:lineRule="auto" w:after="6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288" w:lineRule="auto" w:after="6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288" w:lineRule="auto" w:after="6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4"/>
    <w:bookmarkStart w:id="125" w:name="Xe3796102e15fa10b5c24e38851c753906160937"/>
    <w:p>
      <w:pPr>
        <w:pStyle w:val="Heading2"/>
        <w:spacing w:line="288" w:lineRule="auto" w:after="6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288" w:lineRule="auto" w:after="6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288" w:lineRule="auto" w:after="6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5"/>
    <w:bookmarkStart w:id="126" w:name="bias-and-fairness-in-algorithmic-hiring"/>
    <w:p>
      <w:pPr>
        <w:pStyle w:val="Heading2"/>
        <w:spacing w:line="288" w:lineRule="auto" w:after="6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288" w:lineRule="auto" w:after="6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288" w:lineRule="auto" w:after="6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288" w:lineRule="auto" w:after="6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6"/>
    <w:bookmarkStart w:id="127" w:name="retrieval-augmented-generation"/>
    <w:p>
      <w:pPr>
        <w:pStyle w:val="Heading2"/>
        <w:spacing w:line="288" w:lineRule="auto" w:after="6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288" w:lineRule="auto" w:after="6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7"/>
    <w:bookmarkStart w:id="128" w:name="web-frameworks-and-system-tooling"/>
    <w:p>
      <w:pPr>
        <w:pStyle w:val="Heading2"/>
        <w:spacing w:line="288" w:lineRule="auto" w:after="60"/>
        <w:ind w:firstLine="283"/>
        <w:jc w:val="both"/>
      </w:pPr>
      <w:r>
        <w:rPr>
          <w:rFonts w:ascii="Times New Roman" w:hAnsi="Times New Roman" w:eastAsia="Times New Roman" w:cs="Times New Roman"/>
          <w:color w:val="000000"/>
          <w:sz w:val="24"/>
        </w:rPr>
        <w:t xml:space="preserve">10. Web frameworks and system tooling</w:t>
      </w:r>
    </w:p>
    <w:p>
      <w:pPr>
        <w:pStyle w:val="BlockText"/>
        <w:spacing w:line="288" w:lineRule="auto" w:after="60"/>
        <w:ind w:firstLine="283"/>
        <w:jc w:val="both"/>
      </w:pPr>
      <w:r>
        <w:rPr>
          <w:rFonts w:ascii="Times New Roman" w:hAnsi="Times New Roman" w:eastAsia="Times New Roman" w:cs="Times New Roman"/>
          <w:color w:val="000000"/>
          <w:sz w:val="24"/>
        </w:rPr>
        <w:t xml:space="preserve">Documentation references for the engineering chapters; cited as official documentation footnotes rather than as numbered bibliography entries.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4"/>
        </w:numPr>
        <w:spacing w:line="288" w:lineRule="auto" w:after="60"/>
        <w:ind w:firstLine="283"/>
        <w:jc w:val="both"/>
      </w:pPr>
      <w:r>
        <w:rPr>
          <w:rFonts w:ascii="Times New Roman" w:hAnsi="Times New Roman" w:eastAsia="Times New Roman" w:cs="Times New Roman"/>
          <w:color w:val="000000"/>
          <w:sz w:val="24"/>
        </w:rPr>
        <w:t xml:space="preserve">Resend transactional email API. https://resend.com/docs</w:t>
      </w:r>
    </w:p>
    <w:bookmarkEnd w:id="128"/>
    <w:bookmarkEnd w:id="129"/>
    <w:bookmarkStart w:id="161" w:name="appendices"/>
    <w:p>
      <w:pPr>
        <w:pStyle w:val="Heading1"/>
        <w:spacing w:line="288" w:lineRule="auto" w:after="60"/>
        <w:ind w:firstLine="283"/>
        <w:jc w:val="both"/>
      </w:pPr>
      <w:r>
        <w:rPr>
          <w:rFonts w:ascii="Times New Roman" w:hAnsi="Times New Roman" w:eastAsia="Times New Roman" w:cs="Times New Roman"/>
          <w:color w:val="000000"/>
          <w:sz w:val="24"/>
        </w:rPr>
        <w:t xml:space="preserve">Appendices</w:t>
      </w:r>
    </w:p>
    <w:bookmarkStart w:id="134" w:name="appendix-a-source-listings"/>
    <w:p>
      <w:pPr>
        <w:pStyle w:val="Heading2"/>
        <w:spacing w:line="288" w:lineRule="auto" w:after="60"/>
        <w:ind w:firstLine="283"/>
        <w:jc w:val="both"/>
      </w:pPr>
      <w:r>
        <w:rPr>
          <w:rFonts w:ascii="Times New Roman" w:hAnsi="Times New Roman" w:eastAsia="Times New Roman" w:cs="Times New Roman"/>
          <w:color w:val="000000"/>
          <w:sz w:val="24"/>
        </w:rPr>
        <w:t xml:space="preserve">Appendix A — Source listings</w:t>
      </w:r>
    </w:p>
    <w:p>
      <w:pPr>
        <w:pStyle w:val="BlockText"/>
        <w:spacing w:line="288" w:lineRule="auto" w:after="6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0" w:name="X815009366af60fa4723a257df1c3cfaaf97a2fb"/>
    <w:p>
      <w:pPr>
        <w:pStyle w:val="Heading3"/>
        <w:spacing w:line="288" w:lineRule="auto" w:after="6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288" w:lineRule="auto" w:after="6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build_resume_prepass_v2(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target_role_label: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ResumePrepassV2: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text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resume_text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sections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_detect_sections(text)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bullets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[m.group(</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_BULLET_RE.finditer(text)]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tokens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_tokenize(text)</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resume_skills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_normalise_skills(text)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missing: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matched_locations: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fuzzy_count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(full body in the source file; see Section 4.2 of the thesis for the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accompanying methodological description)</w:t>
      </w:r>
    </w:p>
    <w:bookmarkEnd w:id="130"/>
    <w:bookmarkStart w:id="131" w:name="a.2-bm25-scoring"/>
    <w:p>
      <w:pPr>
        <w:pStyle w:val="Heading3"/>
        <w:spacing w:line="288" w:lineRule="auto" w:after="60"/>
        <w:ind w:firstLine="283"/>
        <w:jc w:val="both"/>
      </w:pPr>
      <w:r>
        <w:rPr>
          <w:rFonts w:ascii="Times New Roman" w:hAnsi="Times New Roman" w:eastAsia="Times New Roman" w:cs="Times New Roman"/>
          <w:color w:val="000000"/>
          <w:sz w:val="24"/>
        </w:rPr>
        <w:t xml:space="preserve">A.2 BM25 scoring</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288" w:lineRule="auto" w:after="6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_bm25_score(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int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query_terms: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idf: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avg_dl: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350.0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k1: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1.5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0.75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"""Standard BM25 score of a query against a single document's term-frequencies."""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sum</w:t>
      </w:r>
      <w:r>
        <w:rPr>
          <w:rStyle w:val="NormalTok"/>
          <w:rFonts w:ascii="Times New Roman" w:hAnsi="Times New Roman" w:eastAsia="Times New Roman" w:cs="Times New Roman"/>
          <w:color w:val="000000"/>
          <w:sz w:val="24"/>
        </w:rPr>
        <w:t xml:space="preserve">(resume_tf.values())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term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resume_tf.get(term,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continue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idf.get(term, math.log((</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norm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avg_dl))</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norm</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score</w:t>
      </w:r>
    </w:p>
    <w:bookmarkEnd w:id="131"/>
    <w:bookmarkStart w:id="132" w:name="a.3-runtime-mode-toggle"/>
    <w:p>
      <w:pPr>
        <w:pStyle w:val="Heading3"/>
        <w:spacing w:line="288" w:lineRule="auto" w:after="60"/>
        <w:ind w:firstLine="283"/>
        <w:jc w:val="both"/>
      </w:pPr>
      <w:r>
        <w:rPr>
          <w:rFonts w:ascii="Times New Roman" w:hAnsi="Times New Roman" w:eastAsia="Times New Roman" w:cs="Times New Roman"/>
          <w:color w:val="000000"/>
          <w:sz w:val="24"/>
        </w:rPr>
        <w:t xml:space="preserve">A.3 Runtime mode toggle</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spacing w:line="288" w:lineRule="auto" w:after="60"/>
        <w:ind w:firstLine="283"/>
        <w:jc w:val="both"/>
      </w:pPr>
      <w:r>
        <w:rPr>
          <w:rStyle w:val="NormalTok"/>
          <w:rFonts w:ascii="Times New Roman" w:hAnsi="Times New Roman" w:eastAsia="Times New Roman" w:cs="Times New Roman"/>
          <w:color w:val="000000"/>
          <w:sz w:val="24"/>
        </w:rPr>
        <w:t xml:space="preserve">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Literal[</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_VALID_MODES: </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_initial_mode: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configured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getattr</w:t>
      </w:r>
      <w:r>
        <w:rPr>
          <w:rStyle w:val="NormalTok"/>
          <w:rFonts w:ascii="Times New Roman" w:hAnsi="Times New Roman" w:eastAsia="Times New Roman" w:cs="Times New Roman"/>
          <w:color w:val="000000"/>
          <w:sz w:val="24"/>
        </w:rPr>
        <w:t xml:space="preserve">(settings, </w:t>
      </w:r>
      <w:r>
        <w:rPr>
          <w:rStyle w:val="StringTok"/>
          <w:rFonts w:ascii="Times New Roman" w:hAnsi="Times New Roman" w:eastAsia="Times New Roman" w:cs="Times New Roman"/>
          <w:color w:val="000000"/>
          <w:sz w:val="24"/>
        </w:rPr>
        <w:t xml:space="preserve">"SCORING_MODE"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configured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_initial_mode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configured</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_current_mode: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_initial_mode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get_scoring_mode()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set_scoring_mode(mode: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global</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mode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raise</w:t>
      </w:r>
      <w:r>
        <w:rPr>
          <w:rStyle w:val="NormalTok"/>
          <w:rFonts w:ascii="Times New Roman" w:hAnsi="Times New Roman" w:eastAsia="Times New Roman" w:cs="Times New Roman"/>
          <w:color w:val="000000"/>
          <w:sz w:val="24"/>
        </w:rPr>
        <w:t xml:space="preserve"> </w:t>
      </w:r>
      <w:r>
        <w:rPr>
          <w:rStyle w:val="PreprocessorTok"/>
          <w:rFonts w:ascii="Times New Roman" w:hAnsi="Times New Roman" w:eastAsia="Times New Roman" w:cs="Times New Roman"/>
          <w:color w:val="000000"/>
          <w:sz w:val="24"/>
        </w:rPr>
        <w:t xml:space="preserve">ValueError</w:t>
      </w:r>
      <w:r>
        <w:rPr>
          <w:rStyle w:val="NormalTok"/>
          <w:rFonts w:ascii="Times New Roman" w:hAnsi="Times New Roman" w:eastAsia="Times New Roman" w:cs="Times New Roman"/>
          <w:color w:val="000000"/>
          <w:sz w:val="24"/>
        </w:rPr>
        <w:t xml:space="preserve">(</w:t>
      </w:r>
      <w:r>
        <w:rPr>
          <w:rStyle w:val="SpecialStringTok"/>
          <w:rFonts w:ascii="Times New Roman" w:hAnsi="Times New Roman" w:eastAsia="Times New Roman" w:cs="Times New Roman"/>
          <w:color w:val="000000"/>
          <w:sz w:val="24"/>
        </w:rPr>
        <w:t xml:space="preserve">f"unknown scoring mode: </w:t>
      </w:r>
      <w:r>
        <w:rPr>
          <w:rStyle w:val="SpecialCha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mode</w:t>
      </w:r>
      <w:r>
        <w:rPr>
          <w:rStyle w:val="SpecialCharTok"/>
          <w:rFonts w:ascii="Times New Roman" w:hAnsi="Times New Roman" w:eastAsia="Times New Roman" w:cs="Times New Roman"/>
          <w:color w:val="000000"/>
          <w:sz w:val="24"/>
        </w:rPr>
        <w:t xml:space="preserve">!r}</w:t>
      </w:r>
      <w:r>
        <w:rPr>
          <w:rStyle w:val="SpecialString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_current_mode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p>
    <w:bookmarkEnd w:id="132"/>
    <w:bookmarkStart w:id="133" w:name="a.4-shared-tool-pipeline"/>
    <w:p>
      <w:pPr>
        <w:pStyle w:val="Heading3"/>
        <w:spacing w:line="288" w:lineRule="auto" w:after="60"/>
        <w:ind w:firstLine="283"/>
        <w:jc w:val="both"/>
      </w:pPr>
      <w:r>
        <w:rPr>
          <w:rFonts w:ascii="Times New Roman" w:hAnsi="Times New Roman" w:eastAsia="Times New Roman" w:cs="Times New Roman"/>
          <w:color w:val="000000"/>
          <w:sz w:val="24"/>
        </w:rPr>
        <w:t xml:space="preserve">A.4 Shared tool pipeline</w:t>
      </w:r>
    </w:p>
    <w:p>
      <w:pPr>
        <w:pStyle w:val="FirstParagraph"/>
        <w:spacing w:line="288" w:lineRule="auto" w:after="6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spacing w:line="288" w:lineRule="auto" w:after="60"/>
        <w:ind w:firstLine="283"/>
        <w:jc w:val="both"/>
      </w:pPr>
      <w:r>
        <w:rPr>
          <w:rStyle w:val="ControlFlowTok"/>
          <w:rFonts w:ascii="Times New Roman" w:hAnsi="Times New Roman" w:eastAsia="Times New Roman" w:cs="Times New Roman"/>
          <w:color w:val="000000"/>
          <w:sz w:val="24"/>
        </w:rPr>
        <w:t xml:space="preserve">async</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run_tool_pipeline(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tool_name: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service_fn: Callable[..., Awaitable[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service_kwargs: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label_fn: Callable[[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feedback: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parent_run_id: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workspace_id: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linked_context_ids: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current_user: User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db: Session,</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cache_extra_keys: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"""Shared pipeline: sanitize -&gt; cache -&gt; service -&gt; fallback -&gt; persist -&gt; respond."""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(sanitisation, cache lookup, service call, persistence, observability)</w:t>
      </w:r>
    </w:p>
    <w:bookmarkEnd w:id="133"/>
    <w:bookmarkEnd w:id="134"/>
    <w:bookmarkStart w:id="139" w:name="Xe2691035b1ea9be44987f1df6fe865ef1936dcd"/>
    <w:p>
      <w:pPr>
        <w:pStyle w:val="Heading2"/>
        <w:spacing w:line="288" w:lineRule="auto" w:after="6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5" w:name="b.1-resume-synthesis-procedure"/>
    <w:p>
      <w:pPr>
        <w:pStyle w:val="Heading3"/>
        <w:spacing w:line="288" w:lineRule="auto" w:after="6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288" w:lineRule="auto" w:after="6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5"/>
    <w:bookmarkStart w:id="136" w:name="b.2-job-description-synthesis-procedure"/>
    <w:p>
      <w:pPr>
        <w:pStyle w:val="Heading3"/>
        <w:spacing w:line="288" w:lineRule="auto" w:after="6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6"/>
    <w:bookmarkStart w:id="137" w:name="b.3-pair-construction"/>
    <w:p>
      <w:pPr>
        <w:pStyle w:val="Heading3"/>
        <w:spacing w:line="288" w:lineRule="auto" w:after="60"/>
        <w:ind w:firstLine="283"/>
        <w:jc w:val="both"/>
      </w:pPr>
      <w:r>
        <w:rPr>
          <w:rFonts w:ascii="Times New Roman" w:hAnsi="Times New Roman" w:eastAsia="Times New Roman" w:cs="Times New Roman"/>
          <w:color w:val="000000"/>
          <w:sz w:val="24"/>
        </w:rPr>
        <w:t xml:space="preserve">B.3 Pair construction</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7"/>
    <w:bookmarkStart w:id="138" w:name="b.4-pair-manifest"/>
    <w:p>
      <w:pPr>
        <w:pStyle w:val="Heading3"/>
        <w:spacing w:line="288" w:lineRule="auto" w:after="60"/>
        <w:ind w:firstLine="283"/>
        <w:jc w:val="both"/>
      </w:pPr>
      <w:r>
        <w:rPr>
          <w:rFonts w:ascii="Times New Roman" w:hAnsi="Times New Roman" w:eastAsia="Times New Roman" w:cs="Times New Roman"/>
          <w:color w:val="000000"/>
          <w:sz w:val="24"/>
        </w:rPr>
        <w:t xml:space="preserve">B.4 Pair manifest</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8"/>
    <w:bookmarkEnd w:id="139"/>
    <w:bookmarkStart w:id="156" w:name="Xa5e1eb6ef87c5a83e8c05d91d91fb5c96834f8e"/>
    <w:p>
      <w:pPr>
        <w:pStyle w:val="Heading2"/>
        <w:spacing w:line="288" w:lineRule="auto" w:after="6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3" w:name="c.1-landing-page"/>
    <w:p>
      <w:pPr>
        <w:pStyle w:val="Heading3"/>
        <w:spacing w:line="288" w:lineRule="auto" w:after="6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60" w:after="40"/>
        <w:jc w:val="center"/>
      </w:pPr>
      <w:r>
        <w:drawing>
          <wp:inline>
            <wp:extent cx="4031999" cy="2267999"/>
            <wp:effectExtent b="0" l="0" r="0" t="0"/>
            <wp:docPr descr="Figure C.1 — Career Workbench landing page (signed-out, production deployment)." title="" id="141" name="Picture"/>
            <a:graphic>
              <a:graphicData uri="http://schemas.openxmlformats.org/drawingml/2006/picture">
                <pic:pic>
                  <pic:nvPicPr>
                    <pic:cNvPr descr="figures/ui-01-landing.png" id="142" name="Picture"/>
                    <pic:cNvPicPr>
                      <a:picLocks noChangeArrowheads="1" noChangeAspect="1"/>
                    </pic:cNvPicPr>
                  </pic:nvPicPr>
                  <pic:blipFill>
                    <a:blip r:embed="rId140"/>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3"/>
    <w:bookmarkStart w:id="147" w:name="c.2-resume-analyzer-input-page"/>
    <w:p>
      <w:pPr>
        <w:pStyle w:val="Heading3"/>
        <w:spacing w:line="288" w:lineRule="auto" w:after="6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60" w:after="40"/>
        <w:jc w:val="center"/>
      </w:pPr>
      <w:r>
        <w:drawing>
          <wp:inline>
            <wp:extent cx="4031999" cy="2267999"/>
            <wp:effectExtent b="0" l="0" r="0" t="0"/>
            <wp:docPr descr="Figure C.2 — Resume Analyzer input page, guest mode." title="" id="145" name="Picture"/>
            <a:graphic>
              <a:graphicData uri="http://schemas.openxmlformats.org/drawingml/2006/picture">
                <pic:pic>
                  <pic:nvPicPr>
                    <pic:cNvPr descr="figures/ui-03-resume-input.png" id="146" name="Picture"/>
                    <pic:cNvPicPr>
                      <a:picLocks noChangeArrowheads="1" noChangeAspect="1"/>
                    </pic:cNvPicPr>
                  </pic:nvPicPr>
                  <pic:blipFill>
                    <a:blip r:embed="rId144"/>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7"/>
    <w:bookmarkStart w:id="151" w:name="Xe92b625608c320df0d0e71eef401fce0fea85fc"/>
    <w:p>
      <w:pPr>
        <w:pStyle w:val="Heading3"/>
        <w:spacing w:line="288" w:lineRule="auto" w:after="6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60" w:after="40"/>
        <w:jc w:val="center"/>
      </w:pPr>
      <w:r>
        <w:drawing>
          <wp:inline>
            <wp:extent cx="4031999" cy="4531798"/>
            <wp:effectExtent b="0" l="0" r="0" t="0"/>
            <wp:docPr descr="Figure C.3 — Resume Analyzer result page in blended mode." title="" id="149" name="Picture"/>
            <a:graphic>
              <a:graphicData uri="http://schemas.openxmlformats.org/drawingml/2006/picture">
                <pic:pic>
                  <pic:nvPicPr>
                    <pic:cNvPr descr="figures/ui-04-resume-result.png" id="150" name="Picture"/>
                    <pic:cNvPicPr>
                      <a:picLocks noChangeArrowheads="1" noChangeAspect="1"/>
                    </pic:cNvPicPr>
                  </pic:nvPicPr>
                  <pic:blipFill>
                    <a:blip r:embed="rId148"/>
                    <a:stretch>
                      <a:fillRect/>
                    </a:stretch>
                  </pic:blipFill>
                  <pic:spPr bwMode="auto">
                    <a:xfrm>
                      <a:off x="0" y="0"/>
                      <a:ext cx="4031999" cy="45317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1"/>
    <w:bookmarkStart w:id="155" w:name="c.4-job-match-result-page"/>
    <w:p>
      <w:pPr>
        <w:pStyle w:val="Heading3"/>
        <w:spacing w:line="288" w:lineRule="auto" w:after="6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60" w:after="40"/>
        <w:jc w:val="center"/>
      </w:pPr>
      <w:r>
        <w:drawing>
          <wp:inline>
            <wp:extent cx="4031999" cy="5520898"/>
            <wp:effectExtent b="0" l="0" r="0" t="0"/>
            <wp:docPr descr="Figure C.4 — Job Match result page on the same resume / job-description pair." title="" id="153" name="Picture"/>
            <a:graphic>
              <a:graphicData uri="http://schemas.openxmlformats.org/drawingml/2006/picture">
                <pic:pic>
                  <pic:nvPicPr>
                    <pic:cNvPr descr="figures/ui-05-job-match-result.png" id="154" name="Picture"/>
                    <pic:cNvPicPr>
                      <a:picLocks noChangeArrowheads="1" noChangeAspect="1"/>
                    </pic:cNvPicPr>
                  </pic:nvPicPr>
                  <pic:blipFill>
                    <a:blip r:embed="rId152"/>
                    <a:stretch>
                      <a:fillRect/>
                    </a:stretch>
                  </pic:blipFill>
                  <pic:spPr bwMode="auto">
                    <a:xfrm>
                      <a:off x="0" y="0"/>
                      <a:ext cx="4031999" cy="5520898"/>
                    </a:xfrm>
                    <a:prstGeom prst="rect">
                      <a:avLst/>
                    </a:prstGeom>
                    <a:noFill/>
                    <a:ln w="9525">
                      <a:noFill/>
                      <a:headEnd/>
                      <a:tailEnd/>
                    </a:ln>
                  </pic:spPr>
                </pic:pic>
              </a:graphicData>
            </a:graphic>
          </wp:inline>
        </w:drawing>
      </w:r>
    </w:p>
    <w:p>
      <w:pPr>
        <w:pStyle w:val="ImageCaption"/>
        <w:keepLines/>
        <w:spacing w:line="288" w:lineRule="auto" w:after="6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288" w:lineRule="auto" w:after="6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5"/>
    <w:bookmarkEnd w:id="156"/>
    <w:bookmarkStart w:id="160" w:name="appendix-d-configuration-reference"/>
    <w:p>
      <w:pPr>
        <w:pStyle w:val="Heading2"/>
        <w:spacing w:line="288" w:lineRule="auto" w:after="60"/>
        <w:ind w:firstLine="283"/>
        <w:jc w:val="both"/>
      </w:pPr>
      <w:r>
        <w:rPr>
          <w:rFonts w:ascii="Times New Roman" w:hAnsi="Times New Roman" w:eastAsia="Times New Roman" w:cs="Times New Roman"/>
          <w:color w:val="000000"/>
          <w:sz w:val="24"/>
        </w:rPr>
        <w:t xml:space="preserve">Appendix D — Configuration reference</w:t>
      </w:r>
    </w:p>
    <w:bookmarkStart w:id="157" w:name="d.1-backend-environment-variables"/>
    <w:p>
      <w:pPr>
        <w:pStyle w:val="Heading3"/>
        <w:spacing w:line="288" w:lineRule="auto" w:after="6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Style w:val="Table"/>
        <w:tblW w:type="pct" w:w="5000"/>
        <w:jc w:val="center"/>
        <w:tblLayout w:type="autofit"/>
        <w:tblLook w:firstRow="1" w:lastRow="0" w:firstColumn="0" w:lastColumn="0" w:noHBand="0" w:noVBand="0" w:val="0020"/>
        <w:tblCellMar>
          <w:top w:w="65" w:type="dxa"/>
          <w:left w:w="65" w:type="dxa"/>
          <w:bottom w:w="65" w:type="dxa"/>
          <w:right w:w="65"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Default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DATABASE_URL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DSN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sqlite:///./career_platform.db</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SECRET_KEY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signing secret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ACCESS_TOKEN_EXPIRE_MINUTES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REFRESH_TOKEN_EXPIRE_DAYS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Refresh-token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dispatch backend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Primary Gemini 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gemini-2.5-flash</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LLM_PRACTICE_MODEL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Cheaper model used for interview practice feedback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VERTEX_PROJECT_ID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Cloud project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VERTEX_LOCATION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Vertex region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us-central1</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BLENDED_SCORING_ENABLED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Apply 60/40 LLM/heuristic blend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SCORING_MODE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In-memory cache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RESULT_CACHE_TTL_SECONDS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Cache TTL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3600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CORS_ORIGINS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Allowed CORS 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FRONTEND_URL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Canonical frontend 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(set in production)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RESEND_API_KEY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SENTRY_DSN</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Error tracking</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disables)</w:t>
            </w:r>
          </w:p>
        </w:tc>
      </w:tr>
    </w:tbl>
    <w:bookmarkEnd w:id="157"/>
    <w:bookmarkStart w:id="158" w:name="d.2-administrative-endpoints"/>
    <w:p>
      <w:pPr>
        <w:pStyle w:val="Heading3"/>
        <w:spacing w:line="288" w:lineRule="auto" w:after="6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5"/>
        </w:numPr>
        <w:spacing w:line="288" w:lineRule="auto" w:after="6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5"/>
        </w:numPr>
        <w:spacing w:line="288" w:lineRule="auto" w:after="6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response shape is:</w:t>
      </w:r>
    </w:p>
    <w:p>
      <w:pPr>
        <w:pStyle w:val="SourceCode"/>
        <w:spacing w:line="288" w:lineRule="auto" w:after="60"/>
        <w:ind w:firstLine="283"/>
        <w:jc w:val="both"/>
      </w:pP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"mode"</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"heuristic_version"</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"v1"</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"blended_weight_heuristic"</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0.4</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"blended_weight_llm"</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0.6</w:t>
      </w:r>
      <w:r>
        <w:rPr>
          <w:rFonts w:ascii="Times New Roman" w:hAnsi="Times New Roman" w:eastAsia="Times New Roman" w:cs="Times New Roman"/>
          <w:color w:val="000000"/>
          <w:sz w:val="24"/>
        </w:rPr>
        <w:br/>
      </w:r>
      <w:r>
        <w:rPr>
          <w:rStyle w:val="FunctionTok"/>
          <w:rFonts w:ascii="Times New Roman" w:hAnsi="Times New Roman" w:eastAsia="Times New Roman" w:cs="Times New Roman"/>
          <w:color w:val="000000"/>
          <w:sz w:val="24"/>
        </w:rPr>
        <w:t xml:space="preserve">}</w:t>
      </w:r>
    </w:p>
    <w:p>
      <w:pPr>
        <w:pStyle w:val="FirstParagraph"/>
        <w:spacing w:line="288" w:lineRule="auto" w:after="6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8"/>
    <w:bookmarkStart w:id="159" w:name="d.3-running-the-evaluation-harness"/>
    <w:p>
      <w:pPr>
        <w:pStyle w:val="Heading3"/>
        <w:spacing w:line="288" w:lineRule="auto" w:after="60"/>
        <w:ind w:firstLine="283"/>
        <w:jc w:val="both"/>
      </w:pPr>
      <w:r>
        <w:rPr>
          <w:rFonts w:ascii="Times New Roman" w:hAnsi="Times New Roman" w:eastAsia="Times New Roman" w:cs="Times New Roman"/>
          <w:color w:val="000000"/>
          <w:sz w:val="24"/>
        </w:rPr>
        <w:t xml:space="preserve">D.3 Running the evaluation harness</w:t>
      </w:r>
    </w:p>
    <w:p>
      <w:pPr>
        <w:pStyle w:val="SourceCode"/>
        <w:spacing w:line="288" w:lineRule="auto" w:after="60"/>
        <w:ind w:firstLine="283"/>
        <w:jc w:val="both"/>
      </w:pPr>
      <w:r>
        <w:rPr>
          <w:rStyle w:val="VerbatimChar"/>
          <w:rFonts w:ascii="Times New Roman" w:hAnsi="Times New Roman" w:eastAsia="Times New Roman" w:cs="Times New Roman"/>
          <w:color w:val="000000"/>
          <w:sz w:val="24"/>
        </w:rPr>
        <w:t xml:space="preserve">$ cd backend</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SCORING_MODE=blended RESULT_CACHE_ENABLED=false \</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../scripts/eval_scoring.py</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../scripts/analyze_eval_results.py &gt; ../thesis/chapter-04-results.md</w:t>
      </w:r>
    </w:p>
    <w:p>
      <w:pPr>
        <w:pStyle w:val="FirstParagraph"/>
        <w:spacing w:line="288" w:lineRule="auto" w:after="6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59"/>
    <w:bookmarkEnd w:id="160"/>
    <w:bookmarkEnd w:id="161"/>
    <w:sectPr>
      <w:type w:val="nextPage"/>
      <w:footerReference w:type="default" r:id="rId153"/>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60" w:line="288"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40" Type="http://schemas.openxmlformats.org/officeDocument/2006/relationships/image" Target="media/rId140.png"/><Relationship Id="rId144" Type="http://schemas.openxmlformats.org/officeDocument/2006/relationships/image" Target="media/rId144.png"/><Relationship Id="rId148" Type="http://schemas.openxmlformats.org/officeDocument/2006/relationships/image" Target="media/rId148.png"/><Relationship Id="rId152" Type="http://schemas.openxmlformats.org/officeDocument/2006/relationships/image" Target="media/rId152.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3"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2026-05-08T13:28:49Z</dcterms:created>
  <dcterms:modified xsi:type="dcterms:W3CDTF">2026-05-08T13:28:49Z</dcterms:modified>
</cp:coreProperties>
</file>

<file path=docProps/custom.xml><?xml version="1.0" encoding="utf-8"?>
<Properties xmlns="http://schemas.openxmlformats.org/officeDocument/2006/custom-properties" xmlns:vt="http://schemas.openxmlformats.org/officeDocument/2006/docPropsVTypes"/>
</file>