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90"/>
      </w:pPr>
      <w:r>
        <w:rPr>
          <w:rFonts w:ascii="Times New Roman" w:hAnsi="Times New Roman" w:eastAsia="Times New Roman" w:cs="Times New Roman"/>
          <w:sz w:val="28"/>
          <w:szCs w:val="28"/>
          <w:b/>
          <w:bCs/>
        </w:rPr>
        <w:t>Wrocław University of Science and Technology</w:t>
      </w:r>
    </w:p>
    <w:p>
      <w:pPr>
        <w:jc w:val="center"/>
        <w:spacing w:before="0" w:after="700"/>
      </w:pPr>
      <w:r>
        <w:rPr>
          <w:rFonts w:ascii="Times New Roman" w:hAnsi="Times New Roman" w:eastAsia="Times New Roman" w:cs="Times New Roman"/>
          <w:sz w:val="26"/>
          <w:szCs w:val="26"/>
        </w:rPr>
        <w:t>Faculty of Electronics, Photonics and Microsystems</w:t>
      </w:r>
    </w:p>
    <w:p>
      <w:pPr>
        <w:jc w:val="center"/>
        <w:spacing w:before="0" w:after="560"/>
      </w:pPr>
      <w:r>
        <w:rPr>
          <w:rFonts w:ascii="Times New Roman" w:hAnsi="Times New Roman" w:eastAsia="Times New Roman" w:cs="Times New Roman"/>
          <w:sz w:val="24"/>
          <w:szCs w:val="24"/>
        </w:rPr>
        <w:t>Field of Study: Electronic and Computer Engineering</w:t>
      </w:r>
    </w:p>
    <w:p>
      <w:pPr>
        <w:jc w:val="center"/>
        <w:spacing w:before="0" w:after="300"/>
      </w:pPr>
      <w:r>
        <w:rPr>
          <w:rFonts w:ascii="Times New Roman" w:hAnsi="Times New Roman" w:eastAsia="Times New Roman" w:cs="Times New Roman"/>
          <w:sz w:val="36"/>
          <w:szCs w:val="36"/>
          <w:b/>
          <w:bCs/>
        </w:rPr>
        <w:t>BACHELOR THESIS</w:t>
      </w:r>
    </w:p>
    <w:p>
      <w:pPr>
        <w:jc w:val="center"/>
        <w:spacing w:before="0" w:after="120"/>
      </w:pPr>
      <w:r>
        <w:rPr>
          <w:rFonts w:ascii="Times New Roman" w:hAnsi="Times New Roman" w:eastAsia="Times New Roman" w:cs="Times New Roman"/>
          <w:sz w:val="24"/>
          <w:szCs w:val="24"/>
        </w:rPr>
        <w:t>Title of Thesis:</w:t>
      </w:r>
    </w:p>
    <w:p>
      <w:pPr>
        <w:jc w:val="center"/>
        <w:spacing w:before="0" w:after="140"/>
      </w:pPr>
      <w:r>
        <w:rPr>
          <w:rFonts w:ascii="Times New Roman" w:hAnsi="Times New Roman" w:eastAsia="Times New Roman" w:cs="Times New Roman"/>
          <w:sz w:val="32"/>
          <w:szCs w:val="32"/>
          <w:b/>
          <w:bCs/>
        </w:rPr>
        <w:t>An AI-Based System for Personalized Career Recommendation</w:t>
      </w:r>
    </w:p>
    <w:p>
      <w:pPr>
        <w:jc w:val="center"/>
        <w:spacing w:before="0" w:after="700"/>
      </w:pPr>
      <w:r>
        <w:rPr>
          <w:rFonts w:ascii="Times New Roman" w:hAnsi="Times New Roman" w:eastAsia="Times New Roman" w:cs="Times New Roman"/>
          <w:sz w:val="24"/>
          <w:szCs w:val="24"/>
          <w:i/>
          <w:iCs/>
        </w:rPr>
        <w:t>System oparty na sztucznej inteligencji do spersonalizowanego doradztwa zawodowego</w:t>
      </w:r>
    </w:p>
    <w:p>
      <w:pPr>
        <w:jc w:val="center"/>
        <w:spacing w:before="0" w:after="80"/>
      </w:pPr>
      <w:r>
        <w:rPr>
          <w:rFonts w:ascii="Times New Roman" w:hAnsi="Times New Roman" w:eastAsia="Times New Roman" w:cs="Times New Roman"/>
          <w:sz w:val="24"/>
          <w:szCs w:val="24"/>
        </w:rPr>
        <w:t>Author:</w:t>
      </w:r>
    </w:p>
    <w:p>
      <w:pPr>
        <w:jc w:val="center"/>
        <w:spacing w:before="0" w:after="260"/>
      </w:pPr>
      <w:r>
        <w:rPr>
          <w:rFonts w:ascii="Times New Roman" w:hAnsi="Times New Roman" w:eastAsia="Times New Roman" w:cs="Times New Roman"/>
          <w:sz w:val="24"/>
          <w:szCs w:val="24"/>
          <w:b/>
          <w:bCs/>
        </w:rPr>
        <w:t>Egemen Goncu</w:t>
      </w:r>
    </w:p>
    <w:p>
      <w:pPr>
        <w:jc w:val="center"/>
        <w:spacing w:before="0" w:after="80"/>
      </w:pPr>
      <w:r>
        <w:rPr>
          <w:rFonts w:ascii="Times New Roman" w:hAnsi="Times New Roman" w:eastAsia="Times New Roman" w:cs="Times New Roman"/>
          <w:sz w:val="24"/>
          <w:szCs w:val="24"/>
        </w:rPr>
        <w:t>Supervisor:</w:t>
      </w:r>
    </w:p>
    <w:p>
      <w:pPr>
        <w:jc w:val="center"/>
        <w:spacing w:before="0" w:after="820"/>
      </w:pPr>
      <w:r>
        <w:rPr>
          <w:rFonts w:ascii="Times New Roman" w:hAnsi="Times New Roman" w:eastAsia="Times New Roman" w:cs="Times New Roman"/>
          <w:sz w:val="24"/>
          <w:szCs w:val="24"/>
        </w:rPr>
        <w:t>dr inż. Michał Błędowski</w:t>
      </w:r>
    </w:p>
    <w:p>
      <w:pPr>
        <w:jc w:val="center"/>
        <w:spacing w:before="0" w:after="0"/>
      </w:pPr>
      <w:r>
        <w:rPr>
          <w:rFonts w:ascii="Times New Roman" w:hAnsi="Times New Roman" w:eastAsia="Times New Roman" w:cs="Times New Roman"/>
          <w:sz w:val="24"/>
          <w:szCs w:val="24"/>
          <w:b/>
          <w:bCs/>
        </w:rPr>
        <w:t>WROCŁAW 2026</w:t>
      </w:r>
    </w:p>
    <w:p>
      <w:pPr>
        <w:jc w:val="left"/>
        <w:spacing w:before="0" w:after="0"/>
        <w:sectPr>
          <w:type w:val="nextPage"/>
          <w:pgSz w:w="11906" w:h="16838"/>
          <w:pgMar w:top="1417" w:right="1417" w:bottom="1417" w:left="1417" w:header="709" w:footer="709" w:gutter="0"/>
          <w:cols w:space="708"/>
          <w:docGrid w:linePitch="360"/>
        </w:sectPr>
      </w:pPr>
    </w:p>
    <w:p>
      <w:pPr>
        <w:pStyle w:val="Heading1"/>
        <w:spacing w:line="312" w:lineRule="auto" w:after="80"/>
        <w:ind w:firstLine="283"/>
        <w:jc w:val="both"/>
        <w:pageBreakBefore/>
      </w:pPr>
      <w:r>
        <w:rPr>
          <w:rFonts w:ascii="Times New Roman" w:hAnsi="Times New Roman" w:eastAsia="Times New Roman" w:cs="Times New Roman"/>
          <w:color w:val="000000"/>
          <w:sz w:val="24"/>
        </w:rPr>
        <w:t xml:space="preserve">Abstract — Streszczenie / Abstract</w:t>
      </w:r>
    </w:p>
    <w:bookmarkStart w:id="21" w:name="streszczenie"/>
    <w:p>
      <w:pPr>
        <w:pStyle w:val="Heading2"/>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Streszczenie</w:t>
      </w:r>
    </w:p>
    <w:p>
      <w:pPr>
        <w:pStyle w:val="FirstParagraph"/>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Frontend zbudowano w technologiach React 19 i TanStack Start; backend wykorzystuje FastAPI oraz PostgreSQL; wnioskowanie modelu językowego delegowano do usługi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odpowiedzi na obawy dotyczące kosztu, opóźnienia oraz zależności od zewnętrznego dostawcy modelu rdzeń analityczny systemu obsługuje dwa przełączalne w czasie działania tryby oceny.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mieszany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łączy deterministyczną heurystykę ze strukturalnym wyjściem modelu językowego (40% / 60%).</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w pełni heurystyczny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opiera się na klasycznych metodach wyszukiwania informacji: analizie słów kluczowych TF–IDF z rankingiem BM25, normalizacji umiejętności zgodnej z taksonomią ESCO, dopasowaniu rozmytym oraz ekstrakcji cech ważonych sekcjami.</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Kontrolowane studium porównawcze oceniło oba tryby na 100 parach (CV, opis stanowiska) obejmujących sześć ścieżek zawodowych. Zbiór ewaluacyjny stanowią deterministycznie wygenerowane syntetyczne CV oraz syntetyczne opisy stanowisk skonstruowane z rozłącznych słownikowo pul fraz; strona CV i strona opisu stanowiska nie współdzielą słownictwa treściowego poza kanonicznymi nazwami umiejętności. W tym zbiorze tryb w pełni heurystyczny śledzi tryb mieszany przy Pearsonowskim</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0,836 [95% przedział ufności 0,762, 0,896, bootstrap klastrowy względem identyfikatora CV] oraz Spearmanowskim ρ = 0,847, działa około dwa do trzech rzędów wielkości szybciej (mediana 25,5 ms wobec 18,2 s) oraz nie ponosi krańcowego kosztu po stronie modelu językowego.</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Korelacja między samym modelem językowym a trybem heurystycznym, odzyskana post-hoc z tożsamości formuły mieszanej w celu odseparowania składowej strukturalnej, wynosi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0,627 [95% CI 0,476, 0,765]. Tryb mieszany zachowuje przewagę w zakresie dowodów jakości prozy (podwynik</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clarity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0,395), co motywuje utrzymanie komponentu językowego obok deterministycznej linii bazowej. Ograniczenia obejmują zakres jednojęzyczny (angielski), syntetyczny zbiór jednego autora oraz pojedynczą konfigurację dostawcy modelu językowego. Praca przyszła obejmuje integrację komponentu wyszukiwania wspomagającego, rozszerzenie o CV w języku polskim oraz uzupełnienie heurystyki o pośredni poziom dopasowania semantycznego oparty na transformatorach zdań.</w:t>
      </w:r>
    </w:p>
    <w:p>
      <w:pPr>
        <w:pStyle w:val="BodyText"/>
        <w:spacing w:line="312" w:lineRule="auto" w:after="80"/>
        <w:jc w:val="both"/>
      </w:pPr>
      <w:r>
        <w:rPr>
          <w:rFonts w:ascii="Times New Roman" w:hAnsi="Times New Roman" w:eastAsia="Times New Roman" w:cs="Times New Roman"/>
          <w:b/>
          <w:bCs/>
          <w:color w:val="000000"/>
          <w:sz w:val="24"/>
          <w:lang w:val="pl-PL" w:eastAsia="pl-PL" w:bidi="pl-PL"/>
        </w:rPr>
        <w:t xml:space="preserve" xml:lang="pl-PL">Słowa kluczowe: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doradztwo zawodowe, analiza CV, duże modele językowe, wyszukiwanie informacji, taksonomia ESCO, ocena hybrydowa, FastAPI, React.</w:t>
      </w:r>
    </w:p>
    <w:bookmarkEnd w:id="21"/>
    <w:bookmarkStart w:id="22" w:name="abstract-english"/>
    <w:p>
      <w:pPr>
        <w:pStyle w:val="Heading2"/>
        <w:spacing w:line="312" w:lineRule="auto" w:after="80"/>
        <w:ind w:firstLine="283"/>
        <w:jc w:val="both"/>
      </w:pPr>
      <w:r>
        <w:rPr>
          <w:rFonts w:ascii="Times New Roman" w:hAnsi="Times New Roman" w:eastAsia="Times New Roman" w:cs="Times New Roman"/>
          <w:color w:val="000000"/>
          <w:sz w:val="24"/>
        </w:rPr>
        <w:t xml:space="preserve">Abstract (English)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rPr>
        <w:t xml:space="preserve">To address cost, latency, and external-provider dependence, the analytical core supports two runtime-switchable scoring modes.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combines a deterministic heuristic with the language model’s structured output at 40% / 60% weighting.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uses classical information-retrieval methods: TF–IDF and BM25 keyword evidence, ESCO-aligned skill normalisation, string-similarity fuzzy matching, and section-weighted feature extraction.</w:t>
      </w:r>
    </w:p>
    <w:p>
      <w:pPr>
        <w:pStyle w:val="BodyText"/>
        <w:spacing w:line="312" w:lineRule="auto" w:after="80"/>
        <w:ind w:firstLine="283"/>
        <w:jc w:val="both"/>
      </w:pPr>
      <w:r>
        <w:rPr>
          <w:rFonts w:ascii="Times New Roman" w:hAnsi="Times New Roman" w:eastAsia="Times New Roman" w:cs="Times New Roman"/>
          <w:color w:val="000000"/>
          <w:sz w:val="24"/>
        </w:rP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while running much faster (median 25.5 ms vs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after controlling for the 0.40 heuristic share embedded in the blended formula.</w:t>
      </w:r>
    </w:p>
    <w:p>
      <w:pPr>
        <w:pStyle w:val="BodyText"/>
        <w:spacing w:line="312" w:lineRule="auto" w:after="80"/>
        <w:ind w:firstLine="283"/>
        <w:jc w:val="both"/>
      </w:pPr>
      <w:r>
        <w:rPr>
          <w:rFonts w:ascii="Times New Roman" w:hAnsi="Times New Roman" w:eastAsia="Times New Roman" w:cs="Times New Roman"/>
          <w:color w:val="000000"/>
          <w:sz w:val="24"/>
        </w:rPr>
        <w:t xml:space="preserve">The result supports the heuristic mode as a fast, auditable fallback, while the blended mode retains value on prose-quality evidence (clarity sub-score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Limitations include English-only evaluation, a single-author synthetic dataset, and one LLM provider. Future work proposes Polish-language ESCO support, retrieval-augmented grounding, and a sentence-transformer intermediate tier.</w:t>
      </w:r>
    </w:p>
    <w:p>
      <w:pPr>
        <w:pStyle w:val="BodyText"/>
        <w:spacing w:line="312" w:lineRule="auto" w:after="8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recommendation, resume analysis, large language models, information retrieval, ESCO taxonomy, hybrid scoring, FastAPI, React.</w:t>
      </w:r>
    </w:p>
    <w:bookmarkEnd w:id="22"/>
    <w:bookmarkEnd w:id="23"/>
    <w:bookmarkStart w:id="24" w:name="acknowledgements"/>
    <w:p>
      <w:pPr>
        <w:pStyle w:val="Heading1"/>
        <w:spacing w:line="312" w:lineRule="auto" w:after="80"/>
        <w:ind w:firstLine="283"/>
        <w:jc w:val="both"/>
      </w:pPr>
      <w:r>
        <w:rPr>
          <w:rFonts w:ascii="Times New Roman" w:hAnsi="Times New Roman" w:eastAsia="Times New Roman" w:cs="Times New Roman"/>
          <w:color w:val="000000"/>
          <w:sz w:val="24"/>
        </w:rPr>
        <w:t xml:space="preserve">Acknowledgements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 would like to thank my supervisor,</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dr inż. Michał Błędowski</w:t>
      </w:r>
      <w:r>
        <w:rPr>
          <w:rFonts w:ascii="Times New Roman" w:hAnsi="Times New Roman" w:eastAsia="Times New Roman" w:cs="Times New Roman"/>
          <w:color w:val="000000"/>
          <w:sz w:val="24"/>
        </w:rP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spacing w:line="312" w:lineRule="auto" w:after="80"/>
        <w:ind w:firstLine="283"/>
        <w:jc w:val="both"/>
      </w:pPr>
      <w:r>
        <w:rPr>
          <w:rFonts w:ascii="Times New Roman" w:hAnsi="Times New Roman" w:eastAsia="Times New Roman" w:cs="Times New Roman"/>
          <w:color w:val="000000"/>
          <w:sz w:val="24"/>
        </w:rPr>
        <w:t xml:space="preserve">I am grateful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Faculty of Electronics, Photonics and Microsystems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Wrocław University of Science and Technology for providing the academic environment in which this thesis was prepared, and to the staff and lecturers whose courses across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 and Computer Engineering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curriculum gave me the technical foundation on which this work builds.</w:t>
      </w:r>
    </w:p>
    <w:p>
      <w:pPr>
        <w:pStyle w:val="BodyText"/>
        <w:spacing w:line="312" w:lineRule="auto" w:after="80"/>
        <w:ind w:firstLine="283"/>
        <w:jc w:val="both"/>
      </w:pPr>
      <w:r>
        <w:rPr>
          <w:rFonts w:ascii="Times New Roman" w:hAnsi="Times New Roman" w:eastAsia="Times New Roman" w:cs="Times New Roman"/>
          <w:color w:val="000000"/>
          <w:sz w:val="24"/>
        </w:rPr>
        <w:t xml:space="preserve">My thanks to the open-source maintainers of the FastAPI, TanStack, React, and SQLAlchemy projects, whose libraries made it possible for a single developer to ship a system at this scope on a thesis-bound schedule.</w:t>
      </w:r>
    </w:p>
    <w:p>
      <w:pPr>
        <w:pStyle w:val="BodyText"/>
        <w:spacing w:line="312" w:lineRule="auto" w:after="80"/>
        <w:ind w:firstLine="283"/>
        <w:jc w:val="both"/>
      </w:pPr>
      <w:r>
        <w:rPr>
          <w:rFonts w:ascii="Times New Roman" w:hAnsi="Times New Roman" w:eastAsia="Times New Roman" w:cs="Times New Roman"/>
          <w:color w:val="000000"/>
          <w:sz w:val="24"/>
        </w:rPr>
        <w:t xml:space="preserve">Egemen Goncu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Wrocław, May 2026</w:t>
      </w:r>
    </w:p>
    <w:bookmarkEnd w:id="24"/>
    <w:bookmarkStart w:id="26" w:name="list-of-abbreviations-and-symbols"/>
    <w:p>
      <w:pPr>
        <w:pStyle w:val="Heading1"/>
        <w:spacing w:line="312" w:lineRule="auto" w:after="80"/>
        <w:ind w:firstLine="283"/>
        <w:jc w:val="both"/>
      </w:pPr>
      <w:r>
        <w:rPr>
          <w:rFonts w:ascii="Times New Roman" w:hAnsi="Times New Roman" w:eastAsia="Times New Roman" w:cs="Times New Roman"/>
          <w:color w:val="000000"/>
          <w:sz w:val="24"/>
        </w:rPr>
        <w:t xml:space="preserve">List of abbreviations and symbols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Abbreviation</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Expansion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Artificial Intelligence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Application Programming Interface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Archive of Diploma Theses (USOS-APD)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ATS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Applicant Tracking System</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Best Match 25 (probabilistic relevance ranking function)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Confidence Interval / Continuous Integration, depending on context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CORS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Cross-Origin Resource Sharing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ESCO</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European Skills, Competences, Qualifications and Occupations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 web framework used by the backend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GDPR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General Data Protection Regulation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Gemini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large-language-model family used through Vertex AI</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HTTP / HTTPS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HyperText Transfer Protocol / HTTP Secure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Information Retrieval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Job Description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JavaScript Object Notation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 Web Token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Kolmogorov–Smirnov statistical distance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Large Language Model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Named-Entity Recognition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NLP</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Natural Language Processing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OAuth</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Open Authorisation / federated-identity protocol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Occupational Information Network taxonomy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ORM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Object–Relational Mapping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Portable Document Format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PWr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Politechnika Wrocławska / Wrocław University of Science and Technology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RAG</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Retrieval-Augmented Generation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Representational State Transfer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SBERT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Sentence-BERT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SQL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Structured Query Language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TF–IDF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Term Frequency–Inverse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UI / UX</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User Interface / User Experience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URL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Uniform Resource Locator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 Archive of Diploma Theses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UUID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Universally Unique Identifier</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WEFiM</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Faculty of Electronics, Photonics and Microsystems</w:t>
            </w:r>
          </w:p>
        </w:tc>
      </w:tr>
    </w:tbl>
    <w:bookmarkStart w:id="25" w:name="symbols-used-in-formulas-in-chapter-4"/>
    <w:p>
      <w:pPr>
        <w:pStyle w:val="Heading2"/>
        <w:spacing w:line="312" w:lineRule="auto" w:after="80"/>
        <w:ind w:firstLine="283"/>
        <w:jc w:val="both"/>
      </w:pPr>
      <w:r>
        <w:rPr>
          <w:rFonts w:ascii="Times New Roman" w:hAnsi="Times New Roman" w:eastAsia="Times New Roman" w:cs="Times New Roman"/>
          <w:color w:val="000000"/>
          <w:sz w:val="24"/>
        </w:rPr>
        <w:t xml:space="preserve">Symbols (used in formulas in Chapter 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Symbol</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Meaning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 correlation coefficient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ρ, 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and Kendall rank-correlation coefficients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k₁</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b</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 term-frequency saturation and document-length normalisation parameters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Fuzzy-matching similarity threshold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 of term</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Number of resumes and number of job descriptions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J</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 single resume and a single job description</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w:t>
            </w:r>
            <w:r>
              <w:rPr>
                <w:rFonts w:ascii="Times New Roman" w:hAnsi="Times New Roman" w:eastAsia="Times New Roman" w:cs="Times New Roman"/>
                <w:b w:val="0"/>
                <w:color w:val="000000"/>
                <w:sz w:val="18"/>
              </w:rPr>
              <w:t xml:space="preserve">(·)</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 extractor function</w:t>
            </w:r>
          </w:p>
        </w:tc>
      </w:tr>
    </w:tbl>
    <w:bookmarkEnd w:id="25"/>
    <w:bookmarkEnd w:id="26"/>
    <w:bookmarkStart w:id="33" w:name="chapter-1-introduction"/>
    <w:p>
      <w:pPr>
        <w:jc w:val="left"/>
        <w:spacing w:before="0" w:after="160"/>
        <w:pageBreakBefore/>
      </w:pPr>
      <w:r>
        <w:rPr>
          <w:rFonts w:ascii="Times New Roman" w:hAnsi="Times New Roman" w:eastAsia="Times New Roman" w:cs="Times New Roman"/>
          <w:sz w:val="36"/>
          <w:szCs w:val="36"/>
          <w:b/>
          <w:bCs/>
        </w:rPr>
        <w:t>Contents</w:t>
      </w:r>
    </w:p>
    <w:p>
      <w:pPr>
        <w:pStyle w:val="TOC1"/>
        <w:keepNext/>
        <w:spacing w:before="0" w:after="160"/>
        <w:sectPr>
          <w:type w:val="nextPage"/>
          <w:footerReference w:type="default" r:id="rId149"/>
          <w:pgSz w:w="11906" w:h="16838"/>
          <w:pgMar w:top="1417" w:right="1417" w:bottom="1417" w:left="1417" w:header="709" w:footer="709" w:gutter="0"/>
          <w:pgNumType w:fmt="lowerRoman" w:start="1"/>
          <w:cols w:space="708"/>
          <w:docGrid w:linePitch="360"/>
        </w:sectPr>
      </w:pPr>
      <w:r>
        <w:fldChar w:fldCharType="begin" w:dirty="true"/>
      </w:r>
      <w:r>
        <w:instrText xml:space="preserve">TOC \o "1-2" \h \z \u</w:instrText>
      </w:r>
      <w:r>
        <w:fldChar w:fldCharType="separate"/>
      </w:r>
      <w:r>
        <w:fldChar w:fldCharType="end"/>
      </w:r>
    </w:p>
    <w:p>
      <w:pPr>
        <w:pStyle w:val="Heading1"/>
        <w:spacing w:line="312" w:lineRule="auto" w:after="80"/>
        <w:ind w:firstLine="283"/>
        <w:jc w:val="both"/>
      </w:pPr>
      <w:r>
        <w:rPr>
          <w:rFonts w:ascii="Times New Roman" w:hAnsi="Times New Roman" w:eastAsia="Times New Roman" w:cs="Times New Roman"/>
          <w:color w:val="000000"/>
          <w:sz w:val="24"/>
        </w:rPr>
        <w:t xml:space="preserve">Chapter 1 — Introduction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Choosing a career path has become harder as job titles fragment, skill requirements change quickly, and many applications pass through automated screening before a human reviewer sees them [3, 18]. Candidates therefore face two coupled problems: understanding which roles fit their current experience, and presenting that experience in a form that remains legible to both recruiters and algorithmic filters.</w:t>
      </w:r>
    </w:p>
    <w:p>
      <w:pPr>
        <w:pStyle w:val="BodyText"/>
        <w:spacing w:line="312" w:lineRule="auto" w:after="80"/>
        <w:ind w:firstLine="283"/>
        <w:jc w:val="both"/>
      </w:pPr>
      <w:r>
        <w:rPr>
          <w:rFonts w:ascii="Times New Roman" w:hAnsi="Times New Roman" w:eastAsia="Times New Roman" w:cs="Times New Roman"/>
          <w:color w:val="000000"/>
          <w:sz w:val="24"/>
        </w:rPr>
        <w:t xml:space="preserve">Most existing support is fragmented. A candidate may use one tool for resume editing, another for job-board matching, another for a cover letter, and another for interview preparation. Each tool starts from the same resume but rarely carries context into the next step. The thesis addresses this gap by building an integrated AI-based career-support system in which the resume is the shared representation used across all tools.</w:t>
      </w:r>
    </w:p>
    <w:p>
      <w:pPr>
        <w:pStyle w:val="BodyText"/>
        <w:spacing w:line="312" w:lineRule="auto" w:after="80"/>
        <w:ind w:firstLine="283"/>
        <w:jc w:val="both"/>
      </w:pPr>
      <w:r>
        <w:rPr>
          <w:rFonts w:ascii="Times New Roman" w:hAnsi="Times New Roman" w:eastAsia="Times New Roman" w:cs="Times New Roman"/>
          <w:color w:val="000000"/>
          <w:sz w:val="24"/>
        </w:rPr>
        <w:t xml:space="preserve">The immediate motivation was practical rather than abstract. During an internship search, the same resume had to be re-entered into a resume editor, a match-score tool, a cover-letter prompt, and an interview-question generator. The friction was not that any single tool was unusable; it was that each one forgot what the previous step had already established. The system developed for this thesis therefore treats continuity of candidate context as a first-class requirement.</w:t>
      </w:r>
    </w:p>
    <w:bookmarkStart w:id="27" w:name="the-career-decision-problem"/>
    <w:p>
      <w:pPr>
        <w:pStyle w:val="Heading2"/>
        <w:spacing w:line="312" w:lineRule="auto" w:after="80"/>
        <w:ind w:firstLine="283"/>
        <w:jc w:val="both"/>
      </w:pPr>
      <w:r>
        <w:rPr>
          <w:rFonts w:ascii="Times New Roman" w:hAnsi="Times New Roman" w:eastAsia="Times New Roman" w:cs="Times New Roman"/>
          <w:color w:val="000000"/>
          <w:sz w:val="24"/>
        </w:rPr>
        <w:t xml:space="preserve">1.1 The career decision problem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Career decision making combines three sub-problems.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the candidate to describe skills, experience, and preferences in a machine-readable form.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Market alignment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how that profile compares with job descriptions.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Action 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which changes, projects, or interview stories would improve the candidate’s position.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27"/>
    <w:bookmarkStart w:id="28" w:name="Xb2b33d9c0e4613654e8bd0dc0463185643a1762"/>
    <w:p>
      <w:pPr>
        <w:pStyle w:val="Heading2"/>
        <w:spacing w:line="312" w:lineRule="auto" w:after="80"/>
        <w:ind w:firstLine="283"/>
        <w:jc w:val="both"/>
      </w:pPr>
      <w:r>
        <w:rPr>
          <w:rFonts w:ascii="Times New Roman" w:hAnsi="Times New Roman" w:eastAsia="Times New Roman" w:cs="Times New Roman"/>
          <w:color w:val="000000"/>
          <w:sz w:val="24"/>
        </w:rPr>
        <w:t xml:space="preserve">1.2 AI-based recommendation systems for careers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spacing w:line="312" w:lineRule="auto" w:after="80"/>
        <w:ind w:firstLine="283"/>
        <w:jc w:val="both"/>
      </w:pPr>
      <w:r>
        <w:rPr>
          <w:rFonts w:ascii="Times New Roman" w:hAnsi="Times New Roman" w:eastAsia="Times New Roman" w:cs="Times New Roman"/>
          <w:color w:val="000000"/>
          <w:sz w:val="24"/>
        </w:rPr>
        <w:t xml:space="preserve">CareerRec [15], for example, applies tree-based classifiers to 2,255 information-technology employee records and reports about 70% accuracy on career-path classification.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28"/>
    <w:bookmarkStart w:id="29" w:name="X0f507a345d505e2b6b09af5902860f6a3d367ad"/>
    <w:p>
      <w:pPr>
        <w:pStyle w:val="Heading2"/>
        <w:spacing w:line="312" w:lineRule="auto" w:after="80"/>
        <w:ind w:firstLine="283"/>
        <w:jc w:val="both"/>
      </w:pPr>
      <w:r>
        <w:rPr>
          <w:rFonts w:ascii="Times New Roman" w:hAnsi="Times New Roman" w:eastAsia="Times New Roman" w:cs="Times New Roman"/>
          <w:color w:val="000000"/>
          <w:sz w:val="24"/>
        </w:rPr>
        <w:t xml:space="preserve">1.3 Resume parsing and job-description analysis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spacing w:line="312" w:lineRule="auto" w:after="80"/>
        <w:ind w:firstLine="283"/>
        <w:jc w:val="both"/>
      </w:pPr>
      <w:r>
        <w:rPr>
          <w:rFonts w:ascii="Times New Roman" w:hAnsi="Times New Roman" w:eastAsia="Times New Roman" w:cs="Times New Roman"/>
          <w:color w:val="000000"/>
          <w:sz w:val="24"/>
        </w:rP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spacing w:line="312" w:lineRule="auto" w:after="80"/>
        <w:ind w:firstLine="283"/>
        <w:jc w:val="both"/>
      </w:pPr>
      <w:r>
        <w:rPr>
          <w:rFonts w:ascii="Times New Roman" w:hAnsi="Times New Roman" w:eastAsia="Times New Roman" w:cs="Times New Roman"/>
          <w:color w:val="000000"/>
          <w:sz w:val="24"/>
        </w:rPr>
        <w:t xml:space="preserve">Job-description analysis is the demand-side counterpart. Recent work links job postings to standardised taxonomies such as ESCO, the European multilingual classification [8], and O*NET. This normalisation lets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“JavaScript”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“JS”</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“ECMAScript”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29"/>
    <w:bookmarkStart w:id="30" w:name="Xa6a123f0eef37d7de42a3068fa80ba2182618c4"/>
    <w:p>
      <w:pPr>
        <w:pStyle w:val="Heading2"/>
        <w:spacing w:line="312" w:lineRule="auto" w:after="80"/>
        <w:ind w:firstLine="283"/>
        <w:jc w:val="both"/>
      </w:pPr>
      <w:r>
        <w:rPr>
          <w:rFonts w:ascii="Times New Roman" w:hAnsi="Times New Roman" w:eastAsia="Times New Roman" w:cs="Times New Roman"/>
          <w:color w:val="000000"/>
          <w:sz w:val="24"/>
        </w:rPr>
        <w:t xml:space="preserve">1.4 Heuristic and language-model scoring approaches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thesis centres on a design tension between two scoring families. The first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deterministic information-retrieval methods such as TF–IDF [5], BM25 [6], string-similarity fuzzy matching [7], taxonomy lookup [8, 9], and section-weighted feature extraction [18]. These methods are cheap, auditable, and independent of external inference services. Their strongest claim is that they capture much of the first-pass recruiter signal: skill overlap, measurable impact, structure, and completeness.</w:t>
      </w:r>
    </w:p>
    <w:p>
      <w:pPr>
        <w:pStyle w:val="BodyText"/>
        <w:spacing w:line="312" w:lineRule="auto" w:after="80"/>
        <w:ind w:firstLine="283"/>
        <w:jc w:val="both"/>
      </w:pPr>
      <w:r>
        <w:rPr>
          <w:rFonts w:ascii="Times New Roman" w:hAnsi="Times New Roman" w:eastAsia="Times New Roman" w:cs="Times New Roman"/>
          <w:color w:val="000000"/>
          <w:sz w:val="24"/>
        </w:rPr>
        <w:t xml:space="preserve">The second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LLM services that read a resume and a job description as natural language and return structured reasoning about alignment. Recent recruitment research reports faster screening and richer feedback from LLM agents and semantic feedback loops than from manual or keyword-only review [16, 17, 18, 19]. Their trade-off is per-call cost, higher latency, and a reasoning process that is harder to audit.</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dichotomy motivates the comparative study in Chapter 4. The implemented system exposes both modes through one interface: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that combines heuristic and LLM scores,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that skips the LLM. The research question is deliberately bounded: on a controlled, deterministically generated synthetic benchmark of resumes and job descriptions, how much of the blended mode’s discriminative power is recoverable from a strictly classical-IR heuristic, and at what latency and cost ratio? The benchmark limits are stated explicitly in Section 4.1.4.</w:t>
      </w:r>
    </w:p>
    <w:p>
      <w:pPr>
        <w:pStyle w:val="BodyText"/>
        <w:spacing w:line="312" w:lineRule="auto" w:after="80"/>
        <w:ind w:firstLine="283"/>
        <w:jc w:val="both"/>
      </w:pPr>
      <w:r>
        <w:rPr>
          <w:rFonts w:ascii="Times New Roman" w:hAnsi="Times New Roman" w:eastAsia="Times New Roman" w:cs="Times New Roman"/>
          <w:color w:val="000000"/>
          <w:sz w:val="24"/>
        </w:rPr>
        <w:t xml:space="preserve">The implementation order is also disclosed because it affects interpretation. The blended mode existed first; the strong heuristic was designed later after the supervisor proposed a heuristic-only comparison. This creates a post-hoc design-coupling threat that Chapter 4 treats as a validity limitation rather than hiding it.</w:t>
      </w:r>
    </w:p>
    <w:p>
      <w:pPr>
        <w:pStyle w:val="BodyText"/>
        <w:spacing w:line="312" w:lineRule="auto" w:after="80"/>
        <w:ind w:firstLine="283"/>
        <w:jc w:val="both"/>
      </w:pPr>
      <w:r>
        <w:rPr>
          <w:rFonts w:ascii="Times New Roman" w:hAnsi="Times New Roman" w:eastAsia="Times New Roman" w:cs="Times New Roman"/>
          <w:color w:val="000000"/>
          <w:sz w:val="24"/>
        </w:rPr>
        <w:t xml:space="preserve">The value of the comparison is operational. If the heuristic preserves useful ranking behaviour, it can act as a low-cost fallback when the LLM is unavailable and as a live demonstration mode during the diploma defence. If it fails, the system still benefits from the blended mode, but the fallback must be framed only as an emergency response.</w:t>
      </w:r>
    </w:p>
    <w:p>
      <w:pPr>
        <w:pStyle w:val="BodyText"/>
        <w:spacing w:line="312" w:lineRule="auto" w:after="80"/>
        <w:ind w:firstLine="283"/>
        <w:jc w:val="both"/>
      </w:pPr>
      <w:r>
        <w:rPr>
          <w:rFonts w:ascii="Times New Roman" w:hAnsi="Times New Roman" w:eastAsia="Times New Roman" w:cs="Times New Roman"/>
          <w:color w:val="000000"/>
          <w:sz w:val="24"/>
        </w:rPr>
        <w:t xml:space="preserve">The comparison also clarifies the boundary between engineering and research in the project. The engineering task is to deliver a reliable user-facing system. The research task is to characterise one design decision inside that system: whether a transparent scoring baseline remains useful when compared with the LLM-augmented path. The two tasks reinforce each other because the same runtime switch used for the study is also a practical operational control.</w:t>
      </w:r>
    </w:p>
    <w:p>
      <w:r>
        <w:br w:type="page"/>
      </w:r>
    </w:p>
    <w:bookmarkEnd w:id="30"/>
    <w:bookmarkStart w:id="31" w:name="purpose-of-the-thesis"/>
    <w:p>
      <w:pPr>
        <w:pStyle w:val="Heading2"/>
        <w:spacing w:line="312" w:lineRule="auto" w:after="80"/>
        <w:ind w:firstLine="283"/>
        <w:jc w:val="both"/>
      </w:pPr>
      <w:r>
        <w:rPr>
          <w:rFonts w:ascii="Times New Roman" w:hAnsi="Times New Roman" w:eastAsia="Times New Roman" w:cs="Times New Roman"/>
          <w:color w:val="000000"/>
          <w:sz w:val="24"/>
        </w:rPr>
        <w:t xml:space="preserve">1.5 Purpose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spacing w:line="312" w:lineRule="auto" w:after="80"/>
        <w:ind w:firstLine="283"/>
        <w:jc w:val="both"/>
      </w:pPr>
      <w:r>
        <w:rPr>
          <w:rFonts w:ascii="Times New Roman" w:hAnsi="Times New Roman" w:eastAsia="Times New Roman" w:cs="Times New Roman"/>
          <w:color w:val="000000"/>
          <w:sz w:val="24"/>
        </w:rPr>
        <w:t xml:space="preserve">The scope follows the application approved in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Archive of Diploma Theses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3 February 2026 and has two aspects.</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engineering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research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using score agreement, distribution shape, latency, and per-call cost.</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spacing w:line="312" w:lineRule="auto" w:after="80"/>
        <w:ind w:firstLine="283"/>
        <w:jc w:val="both"/>
      </w:pPr>
      <w:r>
        <w:rPr>
          <w:rFonts w:ascii="Times New Roman" w:hAnsi="Times New Roman" w:eastAsia="Times New Roman" w:cs="Times New Roman"/>
          <w:color w:val="000000"/>
          <w:sz w:val="24"/>
        </w:rP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31"/>
    <w:bookmarkStart w:id="32" w:name="structure-of-the-thesis"/>
    <w:p>
      <w:pPr>
        <w:pStyle w:val="Heading2"/>
        <w:spacing w:line="312" w:lineRule="auto" w:after="80"/>
        <w:ind w:firstLine="283"/>
        <w:jc w:val="both"/>
      </w:pPr>
      <w:r>
        <w:rPr>
          <w:rFonts w:ascii="Times New Roman" w:hAnsi="Times New Roman" w:eastAsia="Times New Roman" w:cs="Times New Roman"/>
          <w:color w:val="000000"/>
          <w:sz w:val="24"/>
        </w:rPr>
        <w:t xml:space="preserve">1.6 Structure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Chapter 2 describes the system architecture: requirements, technology stack, backend layering, frontend routing and state, persistence, security, and Railway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3 describes the six tools and the shared implementation patterns: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prompt construction, structured-output validation, caching, retry behaviour, and heuristic fallback.</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4 presents the comparative study. It defines the synthetic dataset and controls, specifies the strong heuristic v2, reports agreement, distribution, latency, cost, and ablation results, and discusses limitations.</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5 concludes the thesis by summarising the engineering and empirical contributions, restating the limitations, and identifying future work: Polish-language ESCO support, a sentence-transformer intermediate tier [20, 21], and retrieval-augmented grounding for LLM outputs [25].</w:t>
      </w:r>
    </w:p>
    <w:p>
      <w:pPr>
        <w:pStyle w:val="BodyText"/>
        <w:spacing w:line="312" w:lineRule="auto" w:after="80"/>
        <w:ind w:firstLine="283"/>
        <w:jc w:val="both"/>
      </w:pPr>
      <w:r>
        <w:rPr>
          <w:rFonts w:ascii="Times New Roman" w:hAnsi="Times New Roman" w:eastAsia="Times New Roman" w:cs="Times New Roman"/>
          <w:color w:val="000000"/>
          <w:sz w:val="24"/>
        </w:rPr>
        <w:t xml:space="preserve">The bibliography lists the cited works. Appendix A provides representative source listings, Appendix B documents the synthetic dataset, Appendix C shows production screenshots, and Appendix D records the backend configuration reference.</w:t>
      </w:r>
    </w:p>
    <w:bookmarkEnd w:id="32"/>
    <w:bookmarkEnd w:id="33"/>
    <w:bookmarkStart w:id="59" w:name="chapter-2-system-architecture"/>
    <w:p>
      <w:pPr>
        <w:pStyle w:val="Heading1"/>
        <w:spacing w:line="312" w:lineRule="auto" w:after="80"/>
        <w:ind w:firstLine="283"/>
        <w:jc w:val="both"/>
      </w:pPr>
      <w:r>
        <w:rPr>
          <w:rFonts w:ascii="Times New Roman" w:hAnsi="Times New Roman" w:eastAsia="Times New Roman" w:cs="Times New Roman"/>
          <w:color w:val="000000"/>
          <w:sz w:val="24"/>
        </w:rPr>
        <w:t xml:space="preserve">Chapter 2 — System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architecture of the implemented system: requirements, technology stack, backend and frontend structure, persistence, authentication, and deployment. Design rationales are included only where they affect the thesis evaluation or operational behaviour.</w:t>
      </w:r>
    </w:p>
    <w:bookmarkStart w:id="36" w:name="X543fc3ee69d8b9eebfbf21368042f80b38ec856"/>
    <w:p>
      <w:pPr>
        <w:pStyle w:val="Heading2"/>
        <w:spacing w:line="312" w:lineRule="auto" w:after="80"/>
        <w:ind w:firstLine="283"/>
        <w:jc w:val="both"/>
      </w:pPr>
      <w:r>
        <w:rPr>
          <w:rFonts w:ascii="Times New Roman" w:hAnsi="Times New Roman" w:eastAsia="Times New Roman" w:cs="Times New Roman"/>
          <w:color w:val="000000"/>
          <w:sz w:val="24"/>
        </w:rPr>
        <w:t xml:space="preserve">2.1 Functional and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was designed to satisfy six functional requirements, one per user-facing tool, and seven non-functional requirements.</w:t>
      </w:r>
    </w:p>
    <w:bookmarkStart w:id="34" w:name="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2.1.1 Functional requirements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ID / tool</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Required behaviour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F1 Resume Analyzer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Assess a resume with overall score, sub-scores, issues, actions, and strengths.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F2 Job Match</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Compare a resume with a job description and return score, matched and missing keywords, verdict, and action items.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F3 Career Path</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Suggest ranked career paths with rationale, required skills, and progression timeline.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F4 Cover Letter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Generate a tailored cover letter from resume and job description.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F5 Interview Q&amp;A</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Generate likely interview questions by category with coaching notes.</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F6 Portfolio Planner</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Identify skill gaps and concrete portfolio artefact ideas for a target role.</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same uploaded resume must serve all six tools without re-entry. Tool runs must be re-runnable, and previous results must be usable as context for later tools.</w:t>
      </w:r>
    </w:p>
    <w:bookmarkEnd w:id="34"/>
    <w:bookmarkStart w:id="35" w:name="non-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2.1.2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non-functional requirements reflect a single-developer, thesis-scoped deployment.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N1 (Latency).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Two targets are separated because the analytical core supports two scoring modes (Section 4.2.9).</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N1a: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heuristic-only path should remain below 50 ms at the 95th percentile.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N1b: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cold path should remain below 25 s at the 95th percentile, dominated by the upstream Gemini call; cached production requests are materially faster as reported in Section 3.9.</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N2 (Cost ceiling).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LLM cost is bounded by Gemini 2.5 Flash. Fully heuristic mode reduces LLM-side marginal cost to zero.</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N3 (Availability).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Analytical tools fall back to heuristic-only output after LLM failure and surface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Generative tools fail with a structured retry-able error rather than fabricating content.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N4 (Auditability).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Each persisted tool invocation stores hashed inputs, full output, timing, access mode, and linkage metadata for later inspection and for the study in Chapter 4.</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N5 (Privacy).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Logged-in screens load no third-party advertising or analytics scripts. Personal data is encrypted in transit and at rest by the managed provider; passwords are stored as bcrypt hashes.</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N6 (Single deployment surface).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thesis deployment runs as one Railway project with frontend, backend, and managed PostgreSQL behind one external origin.</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N7 (Demonstrability).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system must be operable from a laptop and must allow the analytical core to switch between blended and fully heuristic modes during a diploma-defence demonstration.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latency requirement was split after measurement. An earlier single cold-path target below five seconds did not match the observed behaviour of structured LLM calls. Separating N1a and N1b keeps the requirement honest: the heuristic path is evaluated as local computation, while the blended path is evaluated as an upstream-service workflow whose tail latency is outside the application’s direct control.</w:t>
      </w:r>
    </w:p>
    <w:bookmarkEnd w:id="35"/>
    <w:bookmarkEnd w:id="36"/>
    <w:bookmarkStart w:id="37" w:name="technology-stack-and-rationale"/>
    <w:p>
      <w:pPr>
        <w:pStyle w:val="Heading2"/>
        <w:spacing w:line="312" w:lineRule="auto" w:after="80"/>
        <w:ind w:firstLine="283"/>
        <w:jc w:val="both"/>
      </w:pPr>
      <w:r>
        <w:rPr>
          <w:rFonts w:ascii="Times New Roman" w:hAnsi="Times New Roman" w:eastAsia="Times New Roman" w:cs="Times New Roman"/>
          <w:color w:val="000000"/>
          <w:sz w:val="24"/>
        </w:rPr>
        <w:t xml:space="preserve">2.2 Technology stack and rationale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technology stack is summarised in Table 2.1.</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Layer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Choice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Rationale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Backend</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 0.115+, SQLAlchemy 2.0, Alembic</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Python-native API, typed validation, mature relational persistence.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Database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(Railway managed)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Single-node managed database is sufficient for thesis traffic.</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provider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Vertex AI Gemini 2.5 Flash</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Low-cost structured-output model with an asynchronous client.</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Frontend</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React 19, TanStack Start, Vite 7</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SPA workspace, type-safe file routing, fast development build.</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Styling and UI</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Tailwind 4, Radix UI, Framer Motion</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Accessible primitives, utility styling, controlled animation.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Authentication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HttpOnly cookies, Google OAuth</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No client-readable tokens and standard refresh rotation.</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Operations</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Railway, Resend, Sentry</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Unified deployment, transactional reset email, lightweight error tracking.</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FastAPI was selected over a TypeScript backend because the analytical core benefits from Python’s mature text-processing ecosystem (</w:t>
      </w:r>
      <w:r>
        <w:rPr>
          <w:rStyle w:val="VerbatimChar"/>
          <w:rFonts w:ascii="Times New Roman" w:hAnsi="Times New Roman" w:eastAsia="Times New Roman" w:cs="Times New Roman"/>
          <w:color w:val="000000"/>
          <w:sz w:val="24"/>
        </w:rPr>
        <w:t xml:space="preserv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unicodedata</w:t>
      </w:r>
      <w:r>
        <w:rPr>
          <w:rFonts w:ascii="Times New Roman" w:hAnsi="Times New Roman" w:eastAsia="Times New Roman" w:cs="Times New Roman"/>
          <w:color w:val="000000"/>
          <w:sz w:val="24"/>
        </w:rPr>
        <w:t xml:space="preserve">, and optional retrieval libraries) and from the official Google Vertex AI client. Keeping scoring logic in Python reduces the risk of language-boundary differences in the comparative study.</w:t>
      </w:r>
    </w:p>
    <w:p>
      <w:pPr>
        <w:pStyle w:val="BodyText"/>
        <w:spacing w:line="312" w:lineRule="auto" w:after="80"/>
        <w:ind w:firstLine="283"/>
        <w:jc w:val="both"/>
      </w:pPr>
      <w:r>
        <w:rPr>
          <w:rFonts w:ascii="Times New Roman" w:hAnsi="Times New Roman" w:eastAsia="Times New Roman" w:cs="Times New Roman"/>
          <w:color w:val="000000"/>
          <w:sz w:val="24"/>
        </w:rPr>
        <w:t xml:space="preserve">TanStack Start was selected over Next.js because the application is an authenticated workspace rather than a content site. Type-safe file routing and co-located search-parameter state fit the multi-tool workflow, while server components and ISR would add little to the thesis scope.</w:t>
      </w:r>
    </w:p>
    <w:p>
      <w:pPr>
        <w:pStyle w:val="BodyText"/>
        <w:spacing w:line="312" w:lineRule="auto" w:after="80"/>
        <w:ind w:firstLine="283"/>
        <w:jc w:val="both"/>
      </w:pPr>
      <w:r>
        <w:rPr>
          <w:rFonts w:ascii="Times New Roman" w:hAnsi="Times New Roman" w:eastAsia="Times New Roman" w:cs="Times New Roman"/>
          <w:color w:val="000000"/>
          <w:sz w:val="24"/>
        </w:rPr>
        <w:t xml:space="preserve">The deployment stack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37"/>
    <w:bookmarkStart w:id="48" w:name="back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2.3 Backend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backend is structured in four horizontal layers (Figure 2.1).</w:t>
      </w:r>
    </w:p>
    <w:p>
      <w:pPr>
        <w:pStyle w:val="CaptionedFigure"/>
        <w:keepNext/>
        <w:spacing w:before="60" w:after="40"/>
        <w:jc w:val="center"/>
      </w:pPr>
      <w:r>
        <w:drawing>
          <wp:inline>
            <wp:extent cx="4031999" cy="2911999"/>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2.1: Backend layered architecture. The FastAPI surface (routers and schemas) delegates to a service layer that runs every analytical tool through the shared</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which in turn invokes the heuristic prepass, the LLM gateway (Vertex AI Gemini 2.5 Flash via</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ai_client.py</w:t>
      </w:r>
      <w:r>
        <w:rPr>
          <w:rFonts w:ascii="Times New Roman" w:hAnsi="Times New Roman" w:eastAsia="Times New Roman" w:cs="Times New Roman"/>
          <w:i/>
          <w:color w:val="000000"/>
          <w:sz w:val="24"/>
        </w:rPr>
        <w:t xml:space="preserve">), and the persistence layer (SQLAlchemy 2.0 + Alembic over PostgreSQL).</w:t>
      </w:r>
    </w:p>
    <w:bookmarkStart w:id="41" w:name="routers"/>
    <w:p>
      <w:pPr>
        <w:pStyle w:val="Heading3"/>
        <w:spacing w:line="312" w:lineRule="auto" w:after="80"/>
        <w:ind w:firstLine="283"/>
        <w:jc w:val="both"/>
      </w:pPr>
      <w:r>
        <w:rPr>
          <w:rFonts w:ascii="Times New Roman" w:hAnsi="Times New Roman" w:eastAsia="Times New Roman" w:cs="Times New Roman"/>
          <w:color w:val="000000"/>
          <w:sz w:val="24"/>
        </w:rPr>
        <w:t xml:space="preserve">2.3.1 Routers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Routers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app/routers/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mounted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w:t>
      </w:r>
      <w:r>
        <w:rPr>
          <w:rFonts w:ascii="Times New Roman" w:hAnsi="Times New Roman" w:eastAsia="Times New Roman" w:cs="Times New Roman"/>
          <w:color w:val="000000"/>
          <w:sz w:val="24"/>
        </w:rPr>
        <w:t xml:space="preserve">. Each router validates the request body with the relevant Pydantic schema, resolves dependencies such as the current user and database session, invokes a service function, and returns the response. Keeping routers thin makes the tool services and the shared pipeline the main units of behaviour.</w:t>
      </w:r>
    </w:p>
    <w:bookmarkEnd w:id="41"/>
    <w:bookmarkStart w:id="45" w:name="the-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2.3.2 The shared tool pipeline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six tools share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services/tool_pipeline.py</w:t>
      </w:r>
      <w:r>
        <w:rPr>
          <w:rFonts w:ascii="Times New Roman" w:hAnsi="Times New Roman" w:eastAsia="Times New Roman" w:cs="Times New Roman"/>
          <w:color w:val="000000"/>
          <w:sz w:val="24"/>
        </w:rPr>
        <w:t xml:space="preserve">. Its stages are shown in Figure 2.2.</w:t>
      </w:r>
    </w:p>
    <w:p>
      <w:pPr>
        <w:pStyle w:val="Compact"/>
        <w:numPr>
          <w:ilvl w:val="0"/>
          <w:numId w:val="1002"/>
        </w:numPr>
        <w:spacing w:line="312" w:lineRule="auto" w:after="80"/>
        <w:ind w:firstLine="283"/>
        <w:jc w:val="both"/>
      </w:pPr>
      <w:r>
        <w:rPr>
          <w:rFonts w:ascii="Times New Roman" w:hAnsi="Times New Roman" w:eastAsia="Times New Roman" w:cs="Times New Roman"/>
          <w:b/>
          <w:bCs/>
          <w:color w:val="000000"/>
          <w:sz w:val="24"/>
        </w:rPr>
        <w:t xml:space="preserve">Sanitise.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text, job descriptions, and feedback strings are normalised and bounded before reaching prompts.</w:t>
      </w:r>
    </w:p>
    <w:p>
      <w:pPr>
        <w:pStyle w:val="Compact"/>
        <w:numPr>
          <w:ilvl w:val="0"/>
          <w:numId w:val="1002"/>
        </w:numPr>
        <w:spacing w:line="312" w:lineRule="auto" w:after="80"/>
        <w:ind w:firstLine="283"/>
        <w:jc w:val="both"/>
      </w:pPr>
      <w:r>
        <w:rPr>
          <w:rFonts w:ascii="Times New Roman" w:hAnsi="Times New Roman" w:eastAsia="Times New Roman" w:cs="Times New Roman"/>
          <w:b/>
          <w:bCs/>
          <w:color w:val="000000"/>
          <w:sz w:val="24"/>
        </w:rPr>
        <w:t xml:space="preserve">Cache lookup.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hash of the tool name, sanitised inputs, user identifier, and tool-specific keys is checked against the in-memory cache.</w:t>
      </w:r>
    </w:p>
    <w:p>
      <w:pPr>
        <w:pStyle w:val="Compact"/>
        <w:numPr>
          <w:ilvl w:val="0"/>
          <w:numId w:val="1002"/>
        </w:numPr>
        <w:spacing w:line="312" w:lineRule="auto" w:after="80"/>
        <w:ind w:firstLine="283"/>
        <w:jc w:val="both"/>
      </w:pPr>
      <w:r>
        <w:rPr>
          <w:rFonts w:ascii="Times New Roman" w:hAnsi="Times New Roman" w:eastAsia="Times New Roman" w:cs="Times New Roman"/>
          <w:b/>
          <w:bCs/>
          <w:color w:val="000000"/>
          <w:sz w:val="24"/>
        </w:rPr>
        <w:t xml:space="preserve">Service call.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tool-specific coroutine performs heuristic extraction, prompt construction, LLM invocation where applicable, and post-processing.</w:t>
      </w:r>
    </w:p>
    <w:p>
      <w:pPr>
        <w:pStyle w:val="Compact"/>
        <w:numPr>
          <w:ilvl w:val="0"/>
          <w:numId w:val="1002"/>
        </w:numPr>
        <w:spacing w:line="312" w:lineRule="auto" w:after="80"/>
        <w:ind w:firstLine="283"/>
        <w:jc w:val="both"/>
      </w:pPr>
      <w:r>
        <w:rPr>
          <w:rFonts w:ascii="Times New Roman" w:hAnsi="Times New Roman" w:eastAsia="Times New Roman" w:cs="Times New Roman"/>
          <w:b/>
          <w:bCs/>
          <w:color w:val="000000"/>
          <w:sz w:val="24"/>
        </w:rPr>
        <w:t xml:space="preserve">Persistence.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Authenticated results are stored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rows with labels, payloads, linked context, workspace identifiers, regeneration parent ids, and feedback text.</w:t>
      </w:r>
    </w:p>
    <w:p>
      <w:pPr>
        <w:pStyle w:val="Compact"/>
        <w:numPr>
          <w:ilvl w:val="0"/>
          <w:numId w:val="1002"/>
        </w:numPr>
        <w:spacing w:line="312" w:lineRule="auto" w:after="80"/>
        <w:ind w:firstLine="283"/>
        <w:jc w:val="both"/>
      </w:pPr>
      <w:r>
        <w:rPr>
          <w:rFonts w:ascii="Times New Roman" w:hAnsi="Times New Roman" w:eastAsia="Times New Roman" w:cs="Times New Roman"/>
          <w:b/>
          <w:bCs/>
          <w:color w:val="000000"/>
          <w:sz w:val="24"/>
        </w:rPr>
        <w:t xml:space="preserve">Response assembly.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response shape returns the history identifier and access mode.</w:t>
      </w:r>
    </w:p>
    <w:p>
      <w:pPr>
        <w:pStyle w:val="Compact"/>
        <w:numPr>
          <w:ilvl w:val="0"/>
          <w:numId w:val="1002"/>
        </w:numPr>
        <w:spacing w:line="312" w:lineRule="auto" w:after="80"/>
        <w:ind w:firstLine="283"/>
        <w:jc w:val="both"/>
      </w:pPr>
      <w:r>
        <w:rPr>
          <w:rFonts w:ascii="Times New Roman" w:hAnsi="Times New Roman" w:eastAsia="Times New Roman" w:cs="Times New Roman"/>
          <w:b/>
          <w:bCs/>
          <w:color w:val="000000"/>
          <w:sz w:val="24"/>
        </w:rPr>
        <w:t xml:space="preserve">Observability.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Structured start, success, and failure events record tool name, access mode, duration, and error category.</w:t>
      </w:r>
    </w:p>
    <w:p>
      <w:pPr>
        <w:pStyle w:val="CaptionedFigure"/>
        <w:keepNext/>
        <w:spacing w:before="60" w:after="40"/>
        <w:jc w:val="center"/>
      </w:pPr>
      <w:r>
        <w:drawing>
          <wp:inline>
            <wp:extent cx="4031999" cy="2911999"/>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2.2: Tool pipeline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spacing w:line="312" w:lineRule="auto" w:after="80"/>
        <w:ind w:firstLine="283"/>
        <w:jc w:val="both"/>
      </w:pPr>
      <w:r>
        <w:rPr>
          <w:rFonts w:ascii="Times New Roman" w:hAnsi="Times New Roman" w:eastAsia="Times New Roman" w:cs="Times New Roman"/>
          <w:color w:val="000000"/>
          <w:sz w:val="24"/>
        </w:rPr>
        <w:t xml:space="preserve">The pipeline gives every tool the same cache, persistence, and observability behaviour. It also lets Chapter 4 reason about mode switching and fallback uniformly rather than per endpoint.</w:t>
      </w:r>
    </w:p>
    <w:p>
      <w:pPr>
        <w:pStyle w:val="BodyText"/>
        <w:spacing w:line="312" w:lineRule="auto" w:after="80"/>
        <w:ind w:firstLine="283"/>
        <w:jc w:val="both"/>
      </w:pPr>
      <w:r>
        <w:rPr>
          <w:rFonts w:ascii="Times New Roman" w:hAnsi="Times New Roman" w:eastAsia="Times New Roman" w:cs="Times New Roman"/>
          <w:color w:val="000000"/>
          <w:sz w:val="24"/>
        </w:rPr>
        <w:t xml:space="preserve">This common wrapper is especially important for regenerated results. A regeneration is just another pipeline run with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optional feedback, and the same persistence contract. The design avoids hidden per-tool exceptions: whether the run is a resume analysis, a cover letter, or a portfolio plan, the frontend can expect a history identifier and a stable result page.</w:t>
      </w:r>
    </w:p>
    <w:bookmarkEnd w:id="45"/>
    <w:bookmarkStart w:id="46" w:name="tool-services-and-prompt-builders"/>
    <w:p>
      <w:pPr>
        <w:pStyle w:val="Heading3"/>
        <w:spacing w:line="312" w:lineRule="auto" w:after="80"/>
        <w:ind w:firstLine="283"/>
        <w:jc w:val="both"/>
      </w:pPr>
      <w:r>
        <w:rPr>
          <w:rFonts w:ascii="Times New Roman" w:hAnsi="Times New Roman" w:eastAsia="Times New Roman" w:cs="Times New Roman"/>
          <w:color w:val="000000"/>
          <w:sz w:val="24"/>
        </w:rPr>
        <w:t xml:space="preserve">2.3.3 Tool services and prompt builders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tool is implemented through a service module and a prompt module. The service orchestrates the heuristic prepass, invokes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services/ai_client.py</w:t>
      </w:r>
      <w:r>
        <w:rPr>
          <w:rFonts w:ascii="Times New Roman" w:hAnsi="Times New Roman" w:eastAsia="Times New Roman" w:cs="Times New Roman"/>
          <w:color w:val="000000"/>
          <w:sz w:val="24"/>
        </w:rPr>
        <w:t xml:space="preserve">, and post-processes the validated result. The prompt module assembles the system and user messages from inputs and the locked heuristic payload. This split keeps prompt content versioned but separate from service orchestration.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modules are also where mode-specific behaviour is isolated. Analytical services can return a heuristic-only response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when the LLM path fails. Generative services do not attempt a heuristic substitute, because a deterministic cover letter or interview answer would be misleading.</w:t>
      </w:r>
    </w:p>
    <w:bookmarkEnd w:id="46"/>
    <w:bookmarkStart w:id="47" w:name="th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2.3.4 The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Resume Analyzer and Job Match compute a deterministic prepass before the LLM call. The prepass detects sections, bullets, quantified achievements, matched and missing keywords, skill phrases, and five sub-scores: keyword alignment, impact, structure, clarity, and completeness. The payload is appended to the prompt as a locked block that the LLM must treat as ground truth. This stabilises scoring and makes heuristic-only fallback and fully heuristic mode possible without a separate response contract.</w:t>
      </w:r>
    </w:p>
    <w:p>
      <w:r>
        <w:br w:type="page"/>
      </w:r>
    </w:p>
    <w:bookmarkEnd w:id="47"/>
    <w:bookmarkEnd w:id="48"/>
    <w:bookmarkStart w:id="52" w:name="front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2.4 Frontend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frontend is a single-page application served from the same Railway project as the backend. The backend handles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the frontend handles the remaining routes.</w:t>
      </w:r>
    </w:p>
    <w:bookmarkStart w:id="49" w:name="route-structure"/>
    <w:p>
      <w:pPr>
        <w:pStyle w:val="Heading3"/>
        <w:spacing w:line="312" w:lineRule="auto" w:after="80"/>
        <w:ind w:firstLine="283"/>
        <w:jc w:val="both"/>
      </w:pPr>
      <w:r>
        <w:rPr>
          <w:rFonts w:ascii="Times New Roman" w:hAnsi="Times New Roman" w:eastAsia="Times New Roman" w:cs="Times New Roman"/>
          <w:color w:val="000000"/>
          <w:sz w:val="24"/>
        </w:rPr>
        <w:t xml:space="preserve">2.4.1 Route structure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Routes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frontend/src/routes/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generated by TanStack Router. Each tool has an input route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/job-match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 result 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/&lt;tool&gt;_/result/$historyId</w:t>
      </w:r>
      <w:r>
        <w:rPr>
          <w:rFonts w:ascii="Times New Roman" w:hAnsi="Times New Roman" w:eastAsia="Times New Roman" w:cs="Times New Roman"/>
          <w:color w:val="000000"/>
          <w:sz w:val="24"/>
        </w:rPr>
        <w:t xml:space="preserve">, where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persisted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Additional routes cover dashboard, account settings, login, password reset, history, and the admin scoring-mode surface.</w:t>
      </w:r>
    </w:p>
    <w:bookmarkEnd w:id="49"/>
    <w:bookmarkStart w:id="50" w:name="state-management"/>
    <w:p>
      <w:pPr>
        <w:pStyle w:val="Heading3"/>
        <w:spacing w:line="312" w:lineRule="auto" w:after="80"/>
        <w:ind w:firstLine="283"/>
        <w:jc w:val="both"/>
      </w:pPr>
      <w:r>
        <w:rPr>
          <w:rFonts w:ascii="Times New Roman" w:hAnsi="Times New Roman" w:eastAsia="Times New Roman" w:cs="Times New Roman"/>
          <w:color w:val="000000"/>
          <w:sz w:val="24"/>
        </w:rPr>
        <w:t xml:space="preserve">2.4.2 State management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State is split into three scopes. Server state is held in TanStack Query, including session, history, and loaded results. Workflow state, such as the carried resume and linked result context, is stored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sessionStorage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through hooks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useResumeCarry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useSession</w:t>
      </w:r>
      <w:r>
        <w:rPr>
          <w:rFonts w:ascii="Times New Roman" w:hAnsi="Times New Roman" w:eastAsia="Times New Roman" w:cs="Times New Roman"/>
          <w:color w:val="000000"/>
          <w:sz w:val="24"/>
        </w:rPr>
        <w:t xml:space="preserve">. Component state remains local to inputs, sheets, animations, and transient UI flags.</w:t>
      </w:r>
    </w:p>
    <w:bookmarkEnd w:id="50"/>
    <w:bookmarkStart w:id="51" w:name="layout-shell-and-navigation"/>
    <w:p>
      <w:pPr>
        <w:pStyle w:val="Heading3"/>
        <w:spacing w:line="312" w:lineRule="auto" w:after="80"/>
        <w:ind w:firstLine="283"/>
        <w:jc w:val="both"/>
      </w:pPr>
      <w:r>
        <w:rPr>
          <w:rFonts w:ascii="Times New Roman" w:hAnsi="Times New Roman" w:eastAsia="Times New Roman" w:cs="Times New Roman"/>
          <w:color w:val="000000"/>
          <w:sz w:val="24"/>
        </w:rPr>
        <w:t xml:space="preserve">2.4.3 Layout shell and navigation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application shell uses a dark sidebar, topbar, and light content area. The sidebar groups the six tools into primary, application, and planning clusters. On mobile, navigation collapses into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MobileNav</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ToolGridSheet</w:t>
      </w:r>
      <w:r>
        <w:rPr>
          <w:rFonts w:ascii="Times New Roman" w:hAnsi="Times New Roman" w:eastAsia="Times New Roman" w:cs="Times New Roman"/>
          <w:color w:val="000000"/>
          <w:sz w:val="24"/>
        </w:rPr>
        <w:t xml:space="preserve">. Tool metadata is centralised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frontend/src/lib/tools/registry.ts</w:t>
      </w:r>
      <w:r>
        <w:rPr>
          <w:rFonts w:ascii="Times New Roman" w:hAnsi="Times New Roman" w:eastAsia="Times New Roman" w:cs="Times New Roman"/>
          <w:color w:val="000000"/>
          <w:sz w:val="24"/>
        </w:rPr>
        <w:t xml:space="preserve">, so adding a tool requires one registry entry rather than repeated UI edits.</w:t>
      </w:r>
    </w:p>
    <w:bookmarkEnd w:id="51"/>
    <w:bookmarkEnd w:id="52"/>
    <w:bookmarkStart w:id="53" w:name="data-model-and-persistence"/>
    <w:p>
      <w:pPr>
        <w:pStyle w:val="Heading2"/>
        <w:spacing w:line="312" w:lineRule="auto" w:after="80"/>
        <w:ind w:firstLine="283"/>
        <w:jc w:val="both"/>
      </w:pPr>
      <w:r>
        <w:rPr>
          <w:rFonts w:ascii="Times New Roman" w:hAnsi="Times New Roman" w:eastAsia="Times New Roman" w:cs="Times New Roman"/>
          <w:color w:val="000000"/>
          <w:sz w:val="24"/>
        </w:rPr>
        <w:t xml:space="preserve">2.5 Data model and persistence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persistence model contains three primary tables, summarised in Table 2.2.</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Table</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Key columns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users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registered account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(UUID),</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email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password_hash</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(bcrypt) or null for OAuth-only accounts,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google_subject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federated identities, timestamps.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tool_runs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tool invocation that the system chose to persist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tool_name</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result_json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parent_run_id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regeneration chains,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linked_context_ids</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workspace_id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feedback_text</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created_at</w:t>
            </w:r>
            <w:r>
              <w:rPr>
                <w:rFonts w:ascii="Times New Roman" w:hAnsi="Times New Roman" w:eastAsia="Times New Roman" w:cs="Times New Roman"/>
                <w:b w:val="0"/>
                <w:color w:val="000000"/>
                <w:sz w:val="18"/>
              </w:rPr>
              <w:t xml:space="preserve">.</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workspaces</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Optional grouping of tool runs around a single role search</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 timestamps.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Regeneration never overwrites an existing result: a regenerated run creates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tool_runs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pointing to the earlier row. Guest runs are not persisted to PostgreSQL; they live briefly in memory behind a session cookie, which keeps the database focused on authenticated history.</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linked_context_ids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 supports the workflow argument of the thesis. When a user invokes a cover letter from a Job Match result, or opens Interview Q&amp;A from an analysed resume, the new result can record the prior run it depended on. This creates a graph of tool usage without requiring a separate workflow engine.</w:t>
      </w:r>
    </w:p>
    <w:bookmarkEnd w:id="53"/>
    <w:bookmarkStart w:id="54" w:name="authentication-and-security"/>
    <w:p>
      <w:pPr>
        <w:pStyle w:val="Heading2"/>
        <w:spacing w:line="312" w:lineRule="auto" w:after="80"/>
        <w:ind w:firstLine="283"/>
        <w:jc w:val="both"/>
      </w:pPr>
      <w:r>
        <w:rPr>
          <w:rFonts w:ascii="Times New Roman" w:hAnsi="Times New Roman" w:eastAsia="Times New Roman" w:cs="Times New Roman"/>
          <w:color w:val="000000"/>
          <w:sz w:val="24"/>
        </w:rPr>
        <w:t xml:space="preserve">2.6 Authentication and security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Authentication uses JWTs in HttpOnly cookies: a 30-minute access token and a 7-day refresh token. The refresh token is sent only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/auth/refresh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is rotated on every successful refresh to prevent replay. Cookies are marked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Secure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SameSite=Lax</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HttpOnly</w:t>
      </w:r>
      <w:r>
        <w:rPr>
          <w:rFonts w:ascii="Times New Roman" w:hAnsi="Times New Roman" w:eastAsia="Times New Roman" w:cs="Times New Roman"/>
          <w:color w:val="000000"/>
          <w:sz w:val="24"/>
        </w:rPr>
        <w:t xml:space="preserve">; CSRF tokens are not issued because the API accepts JSON request bodies and the SameSite policy matches the threat model.</w:t>
      </w:r>
    </w:p>
    <w:p>
      <w:pPr>
        <w:pStyle w:val="BodyText"/>
        <w:spacing w:line="312" w:lineRule="auto" w:after="80"/>
        <w:ind w:firstLine="283"/>
        <w:jc w:val="both"/>
      </w:pPr>
      <w:r>
        <w:rPr>
          <w:rFonts w:ascii="Times New Roman" w:hAnsi="Times New Roman" w:eastAsia="Times New Roman" w:cs="Times New Roman"/>
          <w:color w:val="000000"/>
          <w:sz w:val="24"/>
        </w:rPr>
        <w:t xml:space="preserve">Google OAuth is implemented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authlib</w:t>
      </w:r>
      <w:r>
        <w:rPr>
          <w:rFonts w:ascii="Times New Roman" w:hAnsi="Times New Roman" w:eastAsia="Times New Roman" w:cs="Times New Roman"/>
          <w:color w:val="000000"/>
          <w:sz w:val="24"/>
        </w:rPr>
        <w:t xml:space="preserve">. Password reset uses a single-use token sent through Resend and bound to the current password hash. Inputs are sanitised before prompt construction (Section 2.3.2), disposable-email domains are blocklisted,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slowapi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rate limits login and password-reset endpoints more strictly than tool endpoints.</w:t>
      </w:r>
    </w:p>
    <w:bookmarkEnd w:id="54"/>
    <w:bookmarkStart w:id="58" w:name="deployment-topology"/>
    <w:p>
      <w:pPr>
        <w:pStyle w:val="Heading2"/>
        <w:spacing w:line="312" w:lineRule="auto" w:after="80"/>
        <w:ind w:firstLine="283"/>
        <w:jc w:val="both"/>
      </w:pPr>
      <w:r>
        <w:rPr>
          <w:rFonts w:ascii="Times New Roman" w:hAnsi="Times New Roman" w:eastAsia="Times New Roman" w:cs="Times New Roman"/>
          <w:color w:val="000000"/>
          <w:sz w:val="24"/>
        </w:rPr>
        <w:t xml:space="preserve">2.7 Deployment topology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production deployment runs as a single Railway project with frontend service, backend service, and managed PostgreSQL add-on (Figure 2.3).</w:t>
      </w:r>
    </w:p>
    <w:p>
      <w:pPr>
        <w:pStyle w:val="CaptionedFigure"/>
        <w:keepNext/>
        <w:spacing w:before="60" w:after="40"/>
        <w:jc w:val="center"/>
      </w:pPr>
      <w:r>
        <w:drawing>
          <wp:inline>
            <wp:extent cx="4031999" cy="2799999"/>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4031999" cy="2799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2.3: Production deployment topology. Browser traffic resolves through Cloudflare DNS and TLS into a single Railway hostname; path-based routing at the Railway edge delivers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Vite-built frontend service and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/api/v1/*</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spacing w:line="312" w:lineRule="auto" w:after="80"/>
        <w:ind w:firstLine="283"/>
        <w:jc w:val="both"/>
      </w:pPr>
      <w:r>
        <w:rPr>
          <w:rFonts w:ascii="Times New Roman" w:hAnsi="Times New Roman" w:eastAsia="Times New Roman" w:cs="Times New Roman"/>
          <w:color w:val="000000"/>
          <w:sz w:val="24"/>
        </w:rPr>
        <w:t xml:space="preserve">The shared hostname removes cross-origin complexity for SPA API calls and simplifies cookie configuration. PostgreSQL backups retain seven daily snapshots. Continuous deployment is tied to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branch, while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remains a development checkpoint. This two-branch model keeps the thesis deployment surface narrow without introducing a CI/CD system larger than the project requires.</w:t>
      </w:r>
    </w:p>
    <w:p>
      <w:pPr>
        <w:pStyle w:val="BodyText"/>
        <w:spacing w:line="312" w:lineRule="auto" w:after="80"/>
        <w:ind w:firstLine="283"/>
        <w:jc w:val="both"/>
      </w:pPr>
      <w:r>
        <w:rPr>
          <w:rFonts w:ascii="Times New Roman" w:hAnsi="Times New Roman" w:eastAsia="Times New Roman" w:cs="Times New Roman"/>
          <w:color w:val="000000"/>
          <w:sz w:val="24"/>
        </w:rPr>
        <w:t xml:space="preserve">Railway was chosen because it keeps frontend, backend, database, logs, and metrics under one operational surface. A split deployment, such as frontend hosting plus a separate backend host, was considered but rejected because it would add CORS, cookie, and routing overhead without improving the thesis evaluation.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single-origin deployment is also relevant to authentication. HttpOnly cookies are simpler when the SPA and API share one origin, and path-based routing avoids the browser-policy complexity of maintaining separate frontend and backend domains. For a larger product this architecture could be split later, but doing so during the thesis would have added operational risk without strengthening the research result.</w:t>
      </w:r>
    </w:p>
    <w:p>
      <w:pPr>
        <w:pStyle w:val="BodyText"/>
        <w:spacing w:line="312" w:lineRule="auto" w:after="80"/>
        <w:ind w:firstLine="283"/>
        <w:jc w:val="both"/>
      </w:pPr>
      <w:r>
        <w:rPr>
          <w:rFonts w:ascii="Times New Roman" w:hAnsi="Times New Roman" w:eastAsia="Times New Roman" w:cs="Times New Roman"/>
          <w:color w:val="000000"/>
          <w:sz w:val="24"/>
        </w:rPr>
        <w:t xml:space="preserve">The next chapter details the six tools supported by this architecture.</w:t>
      </w:r>
    </w:p>
    <w:bookmarkEnd w:id="58"/>
    <w:bookmarkEnd w:id="59"/>
    <w:bookmarkStart w:id="85" w:name="chapter-3-tool-implementations"/>
    <w:p>
      <w:pPr>
        <w:pStyle w:val="Heading1"/>
        <w:spacing w:line="312" w:lineRule="auto" w:after="80"/>
        <w:ind w:firstLine="283"/>
        <w:jc w:val="both"/>
      </w:pPr>
      <w:r>
        <w:rPr>
          <w:rFonts w:ascii="Times New Roman" w:hAnsi="Times New Roman" w:eastAsia="Times New Roman" w:cs="Times New Roman"/>
          <w:color w:val="000000"/>
          <w:sz w:val="24"/>
        </w:rPr>
        <w:t xml:space="preserve">Chapter 3 — Tool implementations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Job Match) produce numerical assessments and can therefore be run in either the blended or the fully-heuristic mode introduced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generate creative artefacts and are LLM-only by construction.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spacing w:line="312" w:lineRule="auto" w:after="80"/>
        <w:ind w:firstLine="283"/>
        <w:jc w:val="both"/>
      </w:pPr>
      <w:r>
        <w:rPr>
          <w:rFonts w:ascii="Times New Roman" w:hAnsi="Times New Roman" w:eastAsia="Times New Roman" w:cs="Times New Roman"/>
          <w:color w:val="000000"/>
          <w:sz w:val="24"/>
        </w:rPr>
        <w:t xml:space="preserve">Before discussing each tool, Section 3.1 isolates the cross-cutting concerns that all six share, so that the per-tool sections can focus on what is specific to each.</w:t>
      </w:r>
    </w:p>
    <w:bookmarkStart w:id="65" w:name="cross-cutting-design"/>
    <w:p>
      <w:pPr>
        <w:pStyle w:val="Heading2"/>
        <w:spacing w:line="312" w:lineRule="auto" w:after="80"/>
        <w:ind w:firstLine="283"/>
        <w:jc w:val="both"/>
      </w:pPr>
      <w:r>
        <w:rPr>
          <w:rFonts w:ascii="Times New Roman" w:hAnsi="Times New Roman" w:eastAsia="Times New Roman" w:cs="Times New Roman"/>
          <w:color w:val="000000"/>
          <w:sz w:val="24"/>
        </w:rPr>
        <w:t xml:space="preserve">3.1 Cross-cutting design</w:t>
      </w:r>
    </w:p>
    <w:bookmarkStart w:id="60" w:name="the-structured-output-llm-client"/>
    <w:p>
      <w:pPr>
        <w:pStyle w:val="Heading3"/>
        <w:spacing w:line="312" w:lineRule="auto" w:after="80"/>
        <w:ind w:firstLine="283"/>
        <w:jc w:val="both"/>
      </w:pPr>
      <w:r>
        <w:rPr>
          <w:rFonts w:ascii="Times New Roman" w:hAnsi="Times New Roman" w:eastAsia="Times New Roman" w:cs="Times New Roman"/>
          <w:color w:val="000000"/>
          <w:sz w:val="24"/>
        </w:rPr>
        <w:t xml:space="preserve">3.1.1 The structured-output LLM client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All LLM calls go through a single coroutine,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complete_structured(system_prompt, user_prompt, schema=None, model_override=None)</w:t>
      </w:r>
      <w:r>
        <w:rPr>
          <w:rFonts w:ascii="Times New Roman" w:hAnsi="Times New Roman" w:eastAsia="Times New Roman" w:cs="Times New Roman"/>
          <w:color w:val="000000"/>
          <w:sz w:val="24"/>
        </w:rPr>
        <w:t xml:space="preserve">,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app/services/ai_client.py</w:t>
      </w:r>
      <w:r>
        <w:rPr>
          <w:rFonts w:ascii="Times New Roman" w:hAnsi="Times New Roman" w:eastAsia="Times New Roman" w:cs="Times New Roman"/>
          <w:color w:val="000000"/>
          <w:sz w:val="24"/>
        </w:rPr>
        <w:t xml:space="preserve">. The function lazily initialises the Vertex AI SDK once per process, dispatches the request to the configured provider (</w:t>
      </w:r>
      <w:r>
        <w:rPr>
          <w:rStyle w:val="VerbatimChar"/>
          <w:rFonts w:ascii="Times New Roman" w:hAnsi="Times New Roman" w:eastAsia="Times New Roman" w:cs="Times New Roman"/>
          <w:color w:val="000000"/>
          <w:sz w:val="24"/>
        </w:rPr>
        <w:t xml:space="preserve">vertex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production), requests JSON output, and returns a parsed Python dictionary.</w:t>
      </w:r>
    </w:p>
    <w:p>
      <w:pPr>
        <w:pStyle w:val="BodyText"/>
        <w:spacing w:line="312" w:lineRule="auto" w:after="80"/>
        <w:ind w:firstLine="283"/>
        <w:jc w:val="both"/>
      </w:pPr>
      <w:r>
        <w:rPr>
          <w:rFonts w:ascii="Times New Roman" w:hAnsi="Times New Roman" w:eastAsia="Times New Roman" w:cs="Times New Roman"/>
          <w:color w:val="000000"/>
          <w:sz w:val="24"/>
        </w:rPr>
        <w:t xml:space="preserve">Two reliability mechanisms are built into the client.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Per-call timeout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bounds an individual generation at 120 seconds; this is well above the 95th-percentile latency observed in practice but short enough that a stuck request does not tie up a worker indefinitely.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Exponential backoff with 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retries up to four times (at 5, 10, 20, and 40 seconds, plus a small random offset) for transient errors (</w:t>
      </w:r>
      <w:r>
        <w:rPr>
          <w:rStyle w:val="VerbatimChar"/>
          <w:rFonts w:ascii="Times New Roman" w:hAnsi="Times New Roman" w:eastAsia="Times New Roman" w:cs="Times New Roman"/>
          <w:color w:val="000000"/>
          <w:sz w:val="24"/>
        </w:rPr>
        <w:t xml:space="preserve">TimeoutError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RuntimeError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json.JSONDecodeError</w:t>
      </w:r>
      <w:r>
        <w:rPr>
          <w:rFonts w:ascii="Times New Roman" w:hAnsi="Times New Roman" w:eastAsia="Times New Roman" w:cs="Times New Roman"/>
          <w:color w:val="000000"/>
          <w:sz w:val="24"/>
        </w:rPr>
        <w:t xml:space="preserve">). JSON-decode errors are retried because Gemini occasionally truncates structured output under load; the retry loop deliberately excludes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ValueError</w:t>
      </w:r>
      <w:r>
        <w:rPr>
          <w:rFonts w:ascii="Times New Roman" w:hAnsi="Times New Roman" w:eastAsia="Times New Roman" w:cs="Times New Roman"/>
          <w:color w:val="000000"/>
          <w:sz w:val="24"/>
        </w:rP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spacing w:line="312" w:lineRule="auto" w:after="80"/>
        <w:ind w:firstLine="283"/>
        <w:jc w:val="both"/>
      </w:pPr>
      <w:r>
        <w:rPr>
          <w:rFonts w:ascii="Times New Roman" w:hAnsi="Times New Roman" w:eastAsia="Times New Roman" w:cs="Times New Roman"/>
          <w:color w:val="000000"/>
          <w:sz w:val="24"/>
        </w:rPr>
        <w:t xml:space="preserve">The 5, 10, 20, and 40 second retry schedule was selected after early testing; a shorter 2–4–8–16 schedule often retried before the upstream transient error had cleared.</w:t>
      </w:r>
    </w:p>
    <w:bookmarkEnd w:id="60"/>
    <w:bookmarkStart w:id="61" w:name="the-locked-payload-prompt-pattern"/>
    <w:p>
      <w:pPr>
        <w:pStyle w:val="Heading3"/>
        <w:spacing w:line="312" w:lineRule="auto" w:after="80"/>
        <w:ind w:firstLine="283"/>
        <w:jc w:val="both"/>
      </w:pPr>
      <w:r>
        <w:rPr>
          <w:rFonts w:ascii="Times New Roman" w:hAnsi="Times New Roman" w:eastAsia="Times New Roman" w:cs="Times New Roman"/>
          <w:color w:val="000000"/>
          <w:sz w:val="24"/>
        </w:rPr>
        <w:t xml:space="preserve">3.1.2 The locked-payload prompt pattern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the analytical tools (Resume Analyzer, Job Match) the prompt builder constructs three blocks: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establishes role, register, and forbidden behaviours;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contains the resume and (where applicable) the job description;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The backend then recomputes the final score from the deterministic prepass and the returned LLM score breakdown, so the deployed response does not rely on the model to preserve arithmetic correctly.</w:t>
      </w:r>
    </w:p>
    <w:bookmarkEnd w:id="61"/>
    <w:bookmarkStart w:id="62" w:name="pydantic-validated-structured-output"/>
    <w:p>
      <w:pPr>
        <w:pStyle w:val="Heading3"/>
        <w:spacing w:line="312" w:lineRule="auto" w:after="80"/>
        <w:ind w:firstLine="283"/>
        <w:jc w:val="both"/>
      </w:pPr>
      <w:r>
        <w:rPr>
          <w:rFonts w:ascii="Times New Roman" w:hAnsi="Times New Roman" w:eastAsia="Times New Roman" w:cs="Times New Roman"/>
          <w:color w:val="000000"/>
          <w:sz w:val="24"/>
        </w:rPr>
        <w:t xml:space="preserve">3.1.3 Pydantic-validated structured output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API response returned from a tool router is validated against a Pydantic response model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app/schemas/tools.py</w:t>
      </w:r>
      <w:r>
        <w:rPr>
          <w:rFonts w:ascii="Times New Roman" w:hAnsi="Times New Roman" w:eastAsia="Times New Roman" w:cs="Times New Roman"/>
          <w:color w:val="000000"/>
          <w:sz w:val="24"/>
        </w:rPr>
        <w:t xml:space="preserve">. The frontend mirrors those response contracts with Zod schemas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frontend/src/lib/api/schemas.ts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validates responses before rendering. The two schema files are kept aligned by tests and code review rather than by code generation, which is adequate for the small number of response shapes in this project. Gemini itself is asked for JSON output, but the backend treats the model response as untrusted: service-level normalisation fills missing fields, drops invalid enum values, and falls back to deterministic heuristic content when the analytical LLM call fails.</w:t>
      </w:r>
    </w:p>
    <w:bookmarkEnd w:id="62"/>
    <w:bookmarkStart w:id="63" w:name="fallback-policy"/>
    <w:p>
      <w:pPr>
        <w:pStyle w:val="Heading3"/>
        <w:spacing w:line="312" w:lineRule="auto" w:after="80"/>
        <w:ind w:firstLine="283"/>
        <w:jc w:val="both"/>
      </w:pPr>
      <w:r>
        <w:rPr>
          <w:rFonts w:ascii="Times New Roman" w:hAnsi="Times New Roman" w:eastAsia="Times New Roman" w:cs="Times New Roman"/>
          <w:color w:val="000000"/>
          <w:sz w:val="24"/>
        </w:rPr>
        <w:t xml:space="preserve">3.1.4 Fallback policy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distinguishes two failure modes for an LLM call: a recoverable failure that should produce a degraded but useful response, and an unrecoverable failure that should surface as an explicit error to the user.</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analytical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Analyzer, Job Match) the recoverable path is taken: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indicating that the analysis ran in heuristic-only mode. This design satisfies non-functional requirement N3 of Chapter 2.</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generative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3"/>
    <w:bookmarkStart w:id="64" w:name="caching"/>
    <w:p>
      <w:pPr>
        <w:pStyle w:val="Heading3"/>
        <w:spacing w:line="312" w:lineRule="auto" w:after="80"/>
        <w:ind w:firstLine="283"/>
        <w:jc w:val="both"/>
      </w:pPr>
      <w:r>
        <w:rPr>
          <w:rFonts w:ascii="Times New Roman" w:hAnsi="Times New Roman" w:eastAsia="Times New Roman" w:cs="Times New Roman"/>
          <w:color w:val="000000"/>
          <w:sz w:val="24"/>
        </w:rPr>
        <w:t xml:space="preserve">3.1.5 Caching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Redis is documented in Chapter 5 as the planned upgrade for V1.1.</w:t>
      </w:r>
    </w:p>
    <w:bookmarkEnd w:id="64"/>
    <w:bookmarkEnd w:id="65"/>
    <w:bookmarkStart w:id="69" w:name="resume-analyzer"/>
    <w:p>
      <w:pPr>
        <w:pStyle w:val="Heading2"/>
        <w:spacing w:line="312" w:lineRule="auto" w:after="80"/>
        <w:ind w:firstLine="283"/>
        <w:jc w:val="both"/>
      </w:pPr>
      <w:r>
        <w:rPr>
          <w:rFonts w:ascii="Times New Roman" w:hAnsi="Times New Roman" w:eastAsia="Times New Roman" w:cs="Times New Roman"/>
          <w:color w:val="000000"/>
          <w:sz w:val="24"/>
        </w:rPr>
        <w:t xml:space="preserve">3.2 Resume Analyzer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6" w:name="input-contract"/>
    <w:p>
      <w:pPr>
        <w:pStyle w:val="Heading3"/>
        <w:spacing w:line="312" w:lineRule="auto" w:after="80"/>
        <w:ind w:firstLine="283"/>
        <w:jc w:val="both"/>
      </w:pPr>
      <w:r>
        <w:rPr>
          <w:rFonts w:ascii="Times New Roman" w:hAnsi="Times New Roman" w:eastAsia="Times New Roman" w:cs="Times New Roman"/>
          <w:color w:val="000000"/>
          <w:sz w:val="24"/>
        </w:rPr>
        <w:t xml:space="preserve">3.2.1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request body contains the raw resume text (free-form, minimum 50 characters), an optional job description text, and an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feedback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string used when the user regenerates with a specific instruction.</w:t>
      </w:r>
    </w:p>
    <w:bookmarkEnd w:id="66"/>
    <w:bookmarkStart w:id="67" w:nam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3.2.2 Heuristic prepass</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build_resume_prepass(resume_text, job_description)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performs five extractions in a single pass over the resume text.</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Section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regular-expression pass identifies common resume section headers (</w:t>
      </w:r>
      <w:r>
        <w:rPr>
          <w:rStyle w:val="VerbatimChar"/>
          <w:rFonts w:ascii="Times New Roman" w:hAnsi="Times New Roman" w:eastAsia="Times New Roman" w:cs="Times New Roman"/>
          <w:color w:val="000000"/>
          <w:sz w:val="24"/>
        </w:rPr>
        <w:t xml:space="preserve">Summary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Experience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Skills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Education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Projects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Certifications</w:t>
      </w:r>
      <w:r>
        <w:rPr>
          <w:rFonts w:ascii="Times New Roman" w:hAnsi="Times New Roman" w:eastAsia="Times New Roman" w:cs="Times New Roman"/>
          <w:color w:val="000000"/>
          <w:sz w:val="24"/>
        </w:rPr>
        <w:t xml:space="preserve">) and returns the set of sections present.</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Keyword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Quantification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 lines are scanned for numbers, percentages, currency tokens, and time periods that indicate measurable outcomes. The count of quantified bullets is one of the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curated list of skill phrases is searched against the resume; detected skills are returned as a list. Chapter 4 expands this stage to a top-down lookup against a bundled subset of the ESCO taxonomy [8, 9, 12].</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Structural metrics.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total bullet count, the word count, and the number of detected sections are returned as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five-axis score breakdown (keyword alignment, impact, structure, clarity, and completeness) is computed from these extractions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compute_resume_breakdown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Each sub-score is clamped to the integer range [0, 100].</w:t>
      </w:r>
    </w:p>
    <w:bookmarkEnd w:id="67"/>
    <w:bookmarkStart w:id="68" w:name="prompt-and-post-processing"/>
    <w:p>
      <w:pPr>
        <w:pStyle w:val="Heading3"/>
        <w:spacing w:line="312" w:lineRule="auto" w:after="80"/>
        <w:ind w:firstLine="283"/>
        <w:jc w:val="both"/>
      </w:pPr>
      <w:r>
        <w:rPr>
          <w:rFonts w:ascii="Times New Roman" w:hAnsi="Times New Roman" w:eastAsia="Times New Roman" w:cs="Times New Roman"/>
          <w:color w:val="000000"/>
          <w:sz w:val="24"/>
        </w:rPr>
        <w:t xml:space="preserve">3.2.3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prompt (</w:t>
      </w:r>
      <w:r>
        <w:rPr>
          <w:rStyle w:val="VerbatimChar"/>
          <w:rFonts w:ascii="Times New Roman" w:hAnsi="Times New Roman" w:eastAsia="Times New Roman" w:cs="Times New Roman"/>
          <w:color w:val="000000"/>
          <w:sz w:val="24"/>
        </w:rPr>
        <w:t xml:space="preserve">app/prompts/resume.py</w:t>
      </w:r>
      <w:r>
        <w:rPr>
          <w:rFonts w:ascii="Times New Roman" w:hAnsi="Times New Roman" w:eastAsia="Times New Roman" w:cs="Times New Roman"/>
          <w:color w:val="000000"/>
          <w:sz w:val="24"/>
        </w:rP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why_it_matters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evidence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fields, and to produce up to three prioritised top actions that may be different in framing from the issues. When the user has specified a target role label in the job description, the LLM additionally produces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role_fit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with a fit score and a rationale.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then computes the blended score (heuristic 40%, LLM 60%) following the formula in Section 4.2 and returns a unified response object. When the heuristic and LLM overall scores diverge beyond the configured confidence-gap threshold (18 points for v2, 20 points for v1), an explicit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added to the response surface so that the user understands that two estimates disagreed.</w:t>
      </w:r>
    </w:p>
    <w:bookmarkEnd w:id="68"/>
    <w:bookmarkEnd w:id="69"/>
    <w:bookmarkStart w:id="73" w:name="job-match"/>
    <w:p>
      <w:pPr>
        <w:pStyle w:val="Heading2"/>
        <w:spacing w:line="312" w:lineRule="auto" w:after="80"/>
        <w:ind w:firstLine="283"/>
        <w:jc w:val="both"/>
      </w:pPr>
      <w:r>
        <w:rPr>
          <w:rFonts w:ascii="Times New Roman" w:hAnsi="Times New Roman" w:eastAsia="Times New Roman" w:cs="Times New Roman"/>
          <w:color w:val="000000"/>
          <w:sz w:val="24"/>
        </w:rPr>
        <w:t xml:space="preserve">3.3 Job Match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tool accepts a resume and a job description (provided as text or as a URL) and produces a structured match assessment.</w:t>
      </w:r>
    </w:p>
    <w:bookmarkStart w:id="70" w:name="input-contract-1"/>
    <w:p>
      <w:pPr>
        <w:pStyle w:val="Heading3"/>
        <w:spacing w:line="312" w:lineRule="auto" w:after="80"/>
        <w:ind w:firstLine="283"/>
        <w:jc w:val="both"/>
      </w:pPr>
      <w:r>
        <w:rPr>
          <w:rFonts w:ascii="Times New Roman" w:hAnsi="Times New Roman" w:eastAsia="Times New Roman" w:cs="Times New Roman"/>
          <w:color w:val="000000"/>
          <w:sz w:val="24"/>
        </w:rPr>
        <w:t xml:space="preserve">3.3.1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70"/>
    <w:bookmarkStart w:id="71" w:name="heuristic-prepass-1"/>
    <w:p>
      <w:pPr>
        <w:pStyle w:val="Heading3"/>
        <w:spacing w:line="312" w:lineRule="auto" w:after="80"/>
        <w:ind w:firstLine="283"/>
        <w:jc w:val="both"/>
      </w:pPr>
      <w:r>
        <w:rPr>
          <w:rFonts w:ascii="Times New Roman" w:hAnsi="Times New Roman" w:eastAsia="Times New Roman" w:cs="Times New Roman"/>
          <w:color w:val="000000"/>
          <w:sz w:val="24"/>
        </w:rPr>
        <w:t xml:space="preserve">3.3.2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prepass extends the Resume Analyzer prepass with a single additional output: a deterministic match score computed from the matched-keyword and missing-keyword lists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compute_match_score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The function returns a value in [0, 100] derived from the matched-to-total ratio. The deterministic verdict (</w:t>
      </w:r>
      <w:r>
        <w:rPr>
          <w:rStyle w:val="VerbatimChar"/>
          <w:rFonts w:ascii="Times New Roman" w:hAnsi="Times New Roman" w:eastAsia="Times New Roman" w:cs="Times New Roman"/>
          <w:color w:val="000000"/>
          <w:sz w:val="24"/>
        </w:rPr>
        <w:t xml:space="preserve">strong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borderline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stretch</w:t>
      </w:r>
      <w:r>
        <w:rPr>
          <w:rFonts w:ascii="Times New Roman" w:hAnsi="Times New Roman" w:eastAsia="Times New Roman" w:cs="Times New Roman"/>
          <w:color w:val="000000"/>
          <w:sz w:val="24"/>
        </w:rPr>
        <w:t xml:space="preserve">) is read off this score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job_match_verdict</w:t>
      </w:r>
      <w:r>
        <w:rPr>
          <w:rFonts w:ascii="Times New Roman" w:hAnsi="Times New Roman" w:eastAsia="Times New Roman" w:cs="Times New Roman"/>
          <w:color w:val="000000"/>
          <w:sz w:val="24"/>
        </w:rPr>
        <w:t xml:space="preserve">.</w:t>
      </w:r>
    </w:p>
    <w:bookmarkEnd w:id="71"/>
    <w:bookmarkStart w:id="72" w:name="prompt-and-post-processing-1"/>
    <w:p>
      <w:pPr>
        <w:pStyle w:val="Heading3"/>
        <w:spacing w:line="312" w:lineRule="auto" w:after="80"/>
        <w:ind w:firstLine="283"/>
        <w:jc w:val="both"/>
      </w:pPr>
      <w:r>
        <w:rPr>
          <w:rFonts w:ascii="Times New Roman" w:hAnsi="Times New Roman" w:eastAsia="Times New Roman" w:cs="Times New Roman"/>
          <w:color w:val="000000"/>
          <w:sz w:val="24"/>
        </w:rPr>
        <w:t xml:space="preserve">3.3.3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prompt (</w:t>
      </w:r>
      <w:r>
        <w:rPr>
          <w:rStyle w:val="VerbatimChar"/>
          <w:rFonts w:ascii="Times New Roman" w:hAnsi="Times New Roman" w:eastAsia="Times New Roman" w:cs="Times New Roman"/>
          <w:color w:val="000000"/>
          <w:sz w:val="24"/>
        </w:rPr>
        <w:t xml:space="preserve">app/prompts/job_match.py</w:t>
      </w:r>
      <w:r>
        <w:rPr>
          <w:rFonts w:ascii="Times New Roman" w:hAnsi="Times New Roman" w:eastAsia="Times New Roman" w:cs="Times New Roman"/>
          <w:color w:val="000000"/>
          <w:sz w:val="24"/>
        </w:rPr>
        <w:t xml:space="preserve">) instructs the LLM to produce a structured requirement-by-requirement breakdown. For each detected role requirement, the LLM populates an importance (</w:t>
      </w:r>
      <w:r>
        <w:rPr>
          <w:rStyle w:val="VerbatimChar"/>
          <w:rFonts w:ascii="Times New Roman" w:hAnsi="Times New Roman" w:eastAsia="Times New Roman" w:cs="Times New Roman"/>
          <w:color w:val="000000"/>
          <w:sz w:val="24"/>
        </w:rPr>
        <w:t xml:space="preserve">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preferred</w:t>
      </w:r>
      <w:r>
        <w:rPr>
          <w:rFonts w:ascii="Times New Roman" w:hAnsi="Times New Roman" w:eastAsia="Times New Roman" w:cs="Times New Roman"/>
          <w:color w:val="000000"/>
          <w:sz w:val="24"/>
        </w:rPr>
        <w:t xml:space="preserve">), a status (</w:t>
      </w:r>
      <w:r>
        <w:rPr>
          <w:rStyle w:val="VerbatimChar"/>
          <w:rFonts w:ascii="Times New Roman" w:hAnsi="Times New Roman" w:eastAsia="Times New Roman" w:cs="Times New Roman"/>
          <w:color w:val="000000"/>
          <w:sz w:val="24"/>
        </w:rPr>
        <w:t xml:space="preserve">matched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partial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missing</w:t>
      </w:r>
      <w:r>
        <w:rPr>
          <w:rFonts w:ascii="Times New Roman" w:hAnsi="Times New Roman" w:eastAsia="Times New Roman" w:cs="Times New Roman"/>
          <w:color w:val="000000"/>
          <w:sz w:val="24"/>
        </w:rP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spacing w:line="312" w:lineRule="auto" w:after="80"/>
        <w:ind w:firstLine="283"/>
        <w:jc w:val="both"/>
      </w:pPr>
      <w:r>
        <w:rPr>
          <w:rFonts w:ascii="Times New Roman" w:hAnsi="Times New Roman" w:eastAsia="Times New Roman" w:cs="Times New Roman"/>
          <w:color w:val="000000"/>
          <w:sz w:val="24"/>
        </w:rPr>
        <w:t xml:space="preserve">Because the deterministic match score is computed outside the LLM response, the model cannot change the final score returned by the backend. This preserves comparability across regenerations and makes the fully-heuristic mode of Chapter 4 a substitution of the scoring path rather than a separate response contract.</w:t>
      </w:r>
    </w:p>
    <w:p>
      <w:r>
        <w:br w:type="page"/>
      </w:r>
    </w:p>
    <w:bookmarkEnd w:id="72"/>
    <w:bookmarkEnd w:id="73"/>
    <w:bookmarkStart w:id="76" w:name="career-path"/>
    <w:p>
      <w:pPr>
        <w:pStyle w:val="Heading2"/>
        <w:spacing w:line="312" w:lineRule="auto" w:after="80"/>
        <w:ind w:firstLine="283"/>
        <w:jc w:val="both"/>
      </w:pPr>
      <w:r>
        <w:rPr>
          <w:rFonts w:ascii="Times New Roman" w:hAnsi="Times New Roman" w:eastAsia="Times New Roman" w:cs="Times New Roman"/>
          <w:color w:val="000000"/>
          <w:sz w:val="24"/>
        </w:rPr>
        <w:t xml:space="preserve">3.4 Career Path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Path tool produces forward-looking career suggestions from the resume alone. Unlike Resume Analyzer and Job Match, it does not consume a job description; the user instead optionally supplies a free-form preference string (</w:t>
      </w:r>
      <w:r>
        <w:rPr>
          <w:rFonts w:ascii="Times New Roman" w:hAnsi="Times New Roman" w:eastAsia="Times New Roman" w:cs="Times New Roman"/>
          <w:color w:val="000000"/>
          <w:sz w:val="24"/>
        </w:rPr>
        <w:t xml:space="preserve">“interested in management”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“want to stay technical”</w:t>
      </w:r>
      <w:r>
        <w:rPr>
          <w:rFonts w:ascii="Times New Roman" w:hAnsi="Times New Roman" w:eastAsia="Times New Roman" w:cs="Times New Roman"/>
          <w:color w:val="000000"/>
          <w:sz w:val="24"/>
        </w:rPr>
        <w:t xml:space="preserve">) that is folded into the prompt.</w:t>
      </w:r>
    </w:p>
    <w:bookmarkStart w:id="74" w:name="heuristic-prepass-2"/>
    <w:p>
      <w:pPr>
        <w:pStyle w:val="Heading3"/>
        <w:spacing w:line="312" w:lineRule="auto" w:after="80"/>
        <w:ind w:firstLine="283"/>
        <w:jc w:val="both"/>
      </w:pPr>
      <w:r>
        <w:rPr>
          <w:rFonts w:ascii="Times New Roman" w:hAnsi="Times New Roman" w:eastAsia="Times New Roman" w:cs="Times New Roman"/>
          <w:color w:val="000000"/>
          <w:sz w:val="24"/>
        </w:rPr>
        <w:t xml:space="preserve">3.4.1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extracts three coarse profile signals from the resume: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discipline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(backend-engineering, frontend-engineering, full-stack-engineering, data-analytics, product-design, etc., among ~10 supported categories),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seniority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(junior, mid, senior), and an estimated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years of experience</w:t>
      </w:r>
      <w:r>
        <w:rPr>
          <w:rFonts w:ascii="Times New Roman" w:hAnsi="Times New Roman" w:eastAsia="Times New Roman" w:cs="Times New Roman"/>
          <w:color w:val="000000"/>
          <w:sz w:val="24"/>
        </w:rPr>
        <w:t xml:space="preserve">. Each inference is conservative; when confidence is low, the prepass returns the most general label.</w:t>
      </w:r>
    </w:p>
    <w:p>
      <w:pPr>
        <w:pStyle w:val="BodyText"/>
        <w:spacing w:line="312" w:lineRule="auto" w:after="80"/>
        <w:ind w:firstLine="283"/>
        <w:jc w:val="both"/>
      </w:pPr>
      <w:r>
        <w:rPr>
          <w:rFonts w:ascii="Times New Roman" w:hAnsi="Times New Roman" w:eastAsia="Times New Roman" w:cs="Times New Roman"/>
          <w:color w:val="000000"/>
          <w:sz w:val="24"/>
        </w:rPr>
        <w:t xml:space="preserve">For every discipline, a curated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DISCIPLINE_TARGET_SKILLS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mapping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app/services/career_recommender.py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4"/>
    <w:bookmarkStart w:id="75" w:name="prompt-and-post-processing-2"/>
    <w:p>
      <w:pPr>
        <w:pStyle w:val="Heading3"/>
        <w:spacing w:line="312" w:lineRule="auto" w:after="80"/>
        <w:ind w:firstLine="283"/>
        <w:jc w:val="both"/>
      </w:pPr>
      <w:r>
        <w:rPr>
          <w:rFonts w:ascii="Times New Roman" w:hAnsi="Times New Roman" w:eastAsia="Times New Roman" w:cs="Times New Roman"/>
          <w:color w:val="000000"/>
          <w:sz w:val="24"/>
        </w:rPr>
        <w:t xml:space="preserve">3.4.2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5"/>
    <w:bookmarkEnd w:id="76"/>
    <w:bookmarkStart w:id="78" w:name="cover-letter"/>
    <w:p>
      <w:pPr>
        <w:pStyle w:val="Heading2"/>
        <w:spacing w:line="312" w:lineRule="auto" w:after="80"/>
        <w:ind w:firstLine="283"/>
        <w:jc w:val="both"/>
      </w:pPr>
      <w:r>
        <w:rPr>
          <w:rFonts w:ascii="Times New Roman" w:hAnsi="Times New Roman" w:eastAsia="Times New Roman" w:cs="Times New Roman"/>
          <w:color w:val="000000"/>
          <w:sz w:val="24"/>
        </w:rPr>
        <w:t xml:space="preserve">3.5 Cover Letter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Cover Letter tool produces a tailored cover letter from a resume and a job description. There is no heuristic prepass that would produce a letter, so this tool is LLM-only.</w:t>
      </w:r>
    </w:p>
    <w:bookmarkStart w:id="77" w:name="prompt-and-post-processing-3"/>
    <w:p>
      <w:pPr>
        <w:pStyle w:val="Heading3"/>
        <w:spacing w:line="312" w:lineRule="auto" w:after="80"/>
        <w:ind w:firstLine="283"/>
        <w:jc w:val="both"/>
      </w:pPr>
      <w:r>
        <w:rPr>
          <w:rFonts w:ascii="Times New Roman" w:hAnsi="Times New Roman" w:eastAsia="Times New Roman" w:cs="Times New Roman"/>
          <w:color w:val="000000"/>
          <w:sz w:val="24"/>
        </w:rPr>
        <w:t xml:space="preserve">3.5.1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“team player”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“synergy”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“passionate self-starter”</w:t>
      </w:r>
      <w:r>
        <w:rPr>
          <w:rFonts w:ascii="Times New Roman" w:hAnsi="Times New Roman" w:eastAsia="Times New Roman" w:cs="Times New Roman"/>
          <w:color w:val="000000"/>
          <w:sz w:val="24"/>
        </w:rPr>
        <w:t xml:space="preserve">). The response also includes three short alternative opening lines, allowing the user to swap the opening without regenerating the whole letter.</w:t>
      </w:r>
    </w:p>
    <w:bookmarkEnd w:id="77"/>
    <w:bookmarkEnd w:id="78"/>
    <w:bookmarkStart w:id="80" w:name="interview-qa"/>
    <w:p>
      <w:pPr>
        <w:pStyle w:val="Heading2"/>
        <w:spacing w:line="312" w:lineRule="auto" w:after="80"/>
        <w:ind w:firstLine="283"/>
        <w:jc w:val="both"/>
      </w:pPr>
      <w:r>
        <w:rPr>
          <w:rFonts w:ascii="Times New Roman" w:hAnsi="Times New Roman" w:eastAsia="Times New Roman" w:cs="Times New Roman"/>
          <w:color w:val="000000"/>
          <w:sz w:val="24"/>
        </w:rPr>
        <w:t xml:space="preserve">3.6 Interview Q&amp;A</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Interview Q&amp;A tool produces a curated list of likely interview questions for a given resume and job description. It is LLM-only.</w:t>
      </w:r>
    </w:p>
    <w:bookmarkStart w:id="79" w:name="prompt-and-post-processing-4"/>
    <w:p>
      <w:pPr>
        <w:pStyle w:val="Heading3"/>
        <w:spacing w:line="312" w:lineRule="auto" w:after="80"/>
        <w:ind w:firstLine="283"/>
        <w:jc w:val="both"/>
      </w:pPr>
      <w:r>
        <w:rPr>
          <w:rFonts w:ascii="Times New Roman" w:hAnsi="Times New Roman" w:eastAsia="Times New Roman" w:cs="Times New Roman"/>
          <w:color w:val="000000"/>
          <w:sz w:val="24"/>
        </w:rPr>
        <w:t xml:space="preserve">3.6.1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cluster the generated questions into three categories (</w:t>
      </w:r>
      <w:r>
        <w:rPr>
          <w:rFonts w:ascii="Times New Roman" w:hAnsi="Times New Roman" w:eastAsia="Times New Roman" w:cs="Times New Roman"/>
          <w:i/>
          <w:iCs/>
          <w:color w:val="000000"/>
          <w:sz w:val="24"/>
        </w:rPr>
        <w:t xml:space="preserve">behavioural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technical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role-specific</w:t>
      </w:r>
      <w:r>
        <w:rPr>
          <w:rFonts w:ascii="Times New Roman" w:hAnsi="Times New Roman" w:eastAsia="Times New Roman" w:cs="Times New Roman"/>
          <w:color w:val="000000"/>
          <w:sz w:val="24"/>
        </w:rP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spacing w:line="312" w:lineRule="auto" w:after="80"/>
        <w:ind w:firstLine="283"/>
        <w:jc w:val="both"/>
      </w:pPr>
      <w:r>
        <w:rPr>
          <w:rFonts w:ascii="Times New Roman" w:hAnsi="Times New Roman" w:eastAsia="Times New Roman" w:cs="Times New Roman"/>
          <w:color w:val="000000"/>
          <w:sz w:val="24"/>
        </w:rPr>
        <w:t xml:space="preserve">A practice mode is available as a follow-up flow: the user picks a question from the generated list and supplies a written practice answer. The system then sends the question, the candidate’s answer, and the resume to Gemini and may override the default model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This is the only place in the system where a model override is wired, because practice feedback can be invoked repeatedly during a single user session.</w:t>
      </w:r>
    </w:p>
    <w:bookmarkEnd w:id="79"/>
    <w:bookmarkEnd w:id="80"/>
    <w:bookmarkStart w:id="82" w:name="portfolio-planner"/>
    <w:p>
      <w:pPr>
        <w:pStyle w:val="Heading2"/>
        <w:spacing w:line="312" w:lineRule="auto" w:after="80"/>
        <w:ind w:firstLine="283"/>
        <w:jc w:val="both"/>
      </w:pPr>
      <w:r>
        <w:rPr>
          <w:rFonts w:ascii="Times New Roman" w:hAnsi="Times New Roman" w:eastAsia="Times New Roman" w:cs="Times New Roman"/>
          <w:color w:val="000000"/>
          <w:sz w:val="24"/>
        </w:rPr>
        <w:t xml:space="preserve">3.7 Portfolio Planner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Portfolio Planner tool produces a prioritised list of artefact ideas and skill gaps for a given resume and target role. The output is forward-looking and structural rather than evaluative.</w:t>
      </w:r>
    </w:p>
    <w:bookmarkStart w:id="81" w:name="prompt-and-post-processing-5"/>
    <w:p>
      <w:pPr>
        <w:pStyle w:val="Heading3"/>
        <w:spacing w:line="312" w:lineRule="auto" w:after="80"/>
        <w:ind w:firstLine="283"/>
        <w:jc w:val="both"/>
      </w:pPr>
      <w:r>
        <w:rPr>
          <w:rFonts w:ascii="Times New Roman" w:hAnsi="Times New Roman" w:eastAsia="Times New Roman" w:cs="Times New Roman"/>
          <w:color w:val="000000"/>
          <w:sz w:val="24"/>
        </w:rPr>
        <w:t xml:space="preserve">3.7.1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detects the resume’s discipline and seniority (the same inference used by Career Path) and identifies up to ten skills that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does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1"/>
    <w:bookmarkEnd w:id="82"/>
    <w:bookmarkStart w:id="83" w:name="X0316533d43657d9bfd77d70e918e97beaa94be2"/>
    <w:p>
      <w:pPr>
        <w:pStyle w:val="Heading2"/>
        <w:spacing w:line="312" w:lineRule="auto" w:after="80"/>
        <w:ind w:firstLine="283"/>
        <w:jc w:val="both"/>
      </w:pPr>
      <w:r>
        <w:rPr>
          <w:rFonts w:ascii="Times New Roman" w:hAnsi="Times New Roman" w:eastAsia="Times New Roman" w:cs="Times New Roman"/>
          <w:color w:val="000000"/>
          <w:sz w:val="24"/>
        </w:rPr>
        <w:t xml:space="preserve">3.8 Persistence, regeneration, and result history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tool result that runs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authenticated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through the shared pipeline (Chapter 2.3.2). The persistence layer adds three behaviours that are visible to the user.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Result pages by history identifier.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of a tool run is rendered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/&lt;tool&gt;_/result/&lt;historyId&gt;</w:t>
      </w:r>
      <w:r>
        <w:rPr>
          <w:rFonts w:ascii="Times New Roman" w:hAnsi="Times New Roman" w:eastAsia="Times New Roman" w:cs="Times New Roman"/>
          <w:color w:val="000000"/>
          <w:sz w:val="24"/>
        </w:rPr>
        <w:t xml:space="preserve">, where the history identifier is the primary key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The user can return to a result page later by visiting the URL directly, share the URL with a collaborator who has access to the same account, or reach the result through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History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page that lists every run in reverse-chronological order.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Regeneration as a parent–child chain.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the user regenerates a result with feedback,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is written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The history page renders this as a chain rather than as two unrelated entries, making it possible to walk back through earlier iterations of a single piece of analytical work.</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Cross-tool linkage.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3"/>
    <w:bookmarkStart w:id="84" w:name="X1dc7e4c4ae344161dc6e08133b73d584d675b56"/>
    <w:p>
      <w:pPr>
        <w:pStyle w:val="Heading2"/>
        <w:spacing w:line="312" w:lineRule="auto" w:after="80"/>
        <w:ind w:firstLine="283"/>
        <w:jc w:val="both"/>
      </w:pPr>
      <w:r>
        <w:rPr>
          <w:rFonts w:ascii="Times New Roman" w:hAnsi="Times New Roman" w:eastAsia="Times New Roman" w:cs="Times New Roman"/>
          <w:color w:val="000000"/>
          <w:sz w:val="24"/>
        </w:rPr>
        <w:t xml:space="preserve">3.9 Reliability behaviour observed in production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During development-phase traffic the analytical tools (Resume Analyzer, Job Match) rarely surfaced the heuristic-only fallback path; the retry policy in Section 3.1.1 absorbed observed transient failures before they reached fallback. The generative tools (Cover Letter, Interview Q&amp;A, Career Path, Portfolio) cannot fall back, so their user-visible failure mode is a structured retry prompt rather than a fabricated artefact.</w:t>
      </w:r>
    </w:p>
    <w:p>
      <w:pPr>
        <w:pStyle w:val="BodyText"/>
        <w:spacing w:line="312" w:lineRule="auto" w:after="80"/>
        <w:ind w:firstLine="283"/>
        <w:jc w:val="both"/>
      </w:pPr>
      <w:r>
        <w:rPr>
          <w:rFonts w:ascii="Times New Roman" w:hAnsi="Times New Roman" w:eastAsia="Times New Roman" w:cs="Times New Roman"/>
          <w:color w:val="000000"/>
          <w:sz w:val="24"/>
        </w:rP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4"/>
    <w:bookmarkEnd w:id="85"/>
    <w:bookmarkStart w:id="114" w:name="chapter-4-conducted-studies-and-results"/>
    <w:p>
      <w:pPr>
        <w:pStyle w:val="Heading1"/>
        <w:spacing w:line="312" w:lineRule="auto" w:after="80"/>
        <w:ind w:firstLine="283"/>
        <w:jc w:val="both"/>
      </w:pPr>
      <w:r>
        <w:rPr>
          <w:rFonts w:ascii="Times New Roman" w:hAnsi="Times New Roman" w:eastAsia="Times New Roman" w:cs="Times New Roman"/>
          <w:color w:val="000000"/>
          <w:sz w:val="24"/>
        </w:rPr>
        <w:t xml:space="preserve">Chapter 4 — Conducted studies and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reports the empirical comparison between the two analytical scoring modes implemented in the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(40% heuristic, 60% language-model output)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90" w:name="methodology"/>
    <w:p>
      <w:pPr>
        <w:pStyle w:val="Heading2"/>
        <w:spacing w:line="312" w:lineRule="auto" w:after="80"/>
        <w:ind w:firstLine="283"/>
        <w:jc w:val="both"/>
      </w:pPr>
      <w:r>
        <w:rPr>
          <w:rFonts w:ascii="Times New Roman" w:hAnsi="Times New Roman" w:eastAsia="Times New Roman" w:cs="Times New Roman"/>
          <w:color w:val="000000"/>
          <w:sz w:val="24"/>
        </w:rPr>
        <w:t xml:space="preserve">4.1 Methodology</w:t>
      </w:r>
    </w:p>
    <w:bookmarkStart w:id="86" w:name="evaluation-dataset"/>
    <w:p>
      <w:pPr>
        <w:pStyle w:val="Heading3"/>
        <w:spacing w:line="312" w:lineRule="auto" w:after="80"/>
        <w:ind w:firstLine="283"/>
        <w:jc w:val="both"/>
      </w:pPr>
      <w:r>
        <w:rPr>
          <w:rFonts w:ascii="Times New Roman" w:hAnsi="Times New Roman" w:eastAsia="Times New Roman" w:cs="Times New Roman"/>
          <w:color w:val="000000"/>
          <w:sz w:val="24"/>
        </w:rPr>
        <w:t xml:space="preserve">4.1.1 Evaluation dataset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spacing w:line="312" w:lineRule="auto" w:after="80"/>
        <w:ind w:firstLine="283"/>
        <w:jc w:val="both"/>
      </w:pPr>
      <w:r>
        <w:rPr>
          <w:rFonts w:ascii="Times New Roman" w:hAnsi="Times New Roman" w:eastAsia="Times New Roman" w:cs="Times New Roman"/>
          <w:color w:val="000000"/>
          <w:sz w:val="24"/>
        </w:rPr>
        <w:t xml:space="preserve">The dataset is generated deterministically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Resume content is drawn from track-specific</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job-description content from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after stop-words and role-domain skill terms are removed, the two pools are lexically disjoint.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spacing w:line="312" w:lineRule="auto" w:after="80"/>
        <w:ind w:firstLine="283"/>
        <w:jc w:val="both"/>
      </w:pPr>
      <w:r>
        <w:rPr>
          <w:rFonts w:ascii="Times New Roman" w:hAnsi="Times New Roman" w:eastAsia="Times New Roman" w:cs="Times New Roman"/>
          <w:color w:val="000000"/>
          <w:sz w:val="24"/>
        </w:rP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86"/>
    <w:bookmarkStart w:id="87" w:name="metrics"/>
    <w:p>
      <w:pPr>
        <w:pStyle w:val="Heading3"/>
        <w:spacing w:line="312" w:lineRule="auto" w:after="80"/>
        <w:ind w:firstLine="283"/>
        <w:jc w:val="both"/>
      </w:pPr>
      <w:r>
        <w:rPr>
          <w:rFonts w:ascii="Times New Roman" w:hAnsi="Times New Roman" w:eastAsia="Times New Roman" w:cs="Times New Roman"/>
          <w:color w:val="000000"/>
          <w:sz w:val="24"/>
        </w:rPr>
        <w:t xml:space="preserve">4.1.2 Metrics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metric families are computed per pair.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measures linear association between the two modes’ overall scores. Spearman ρ and Kendall τ measure rank agreement, which is more relevant when the score is used as a screening signal. The value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is used as a practical interpretation anchor, not as a formal hypothesis or a literature-derived pass/fail threshold.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distribution.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Kolmogorov–Smirnov distance compares the overall score distributions and shows whether the heuristic shifts or compresses the score scale even when ranking is similar.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Wall-clock service time is measured from request entry into the tool service until a complete response is returned. Network round-trip time between browser and backend is excluded.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Per-call cost.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Marginal LLM-side cost is estimated in US dollars. Blended mode incurs Gemini 2.5 Flash token cost; fully heuristic mode incurs no third-party inference charge.</w:t>
      </w:r>
    </w:p>
    <w:bookmarkEnd w:id="87"/>
    <w:bookmarkStart w:id="88" w:name="controls"/>
    <w:p>
      <w:pPr>
        <w:pStyle w:val="Heading3"/>
        <w:spacing w:line="312" w:lineRule="auto" w:after="80"/>
        <w:ind w:firstLine="283"/>
        <w:jc w:val="both"/>
      </w:pPr>
      <w:r>
        <w:rPr>
          <w:rFonts w:ascii="Times New Roman" w:hAnsi="Times New Roman" w:eastAsia="Times New Roman" w:cs="Times New Roman"/>
          <w:color w:val="000000"/>
          <w:sz w:val="24"/>
        </w:rPr>
        <w:t xml:space="preserve">4.1.3 Controls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Three controls isolate the comparison.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RESULT_CACHE_ENABLED=false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prevents cache reuse from contaminating latency,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before importing the application settings so that both modes use the same strong heuristic implementation. The remaining experimental difference is whether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invoked. The LLM client uses temperature 0.3, so sampling variance is not eliminated; it is bounded only by running one fixed dataset through one configured provider and by reporting the result as an implementation characterisation rather than a population estimate.</w:t>
      </w:r>
    </w:p>
    <w:bookmarkEnd w:id="88"/>
    <w:bookmarkStart w:id="89" w:name="threats-to-validity"/>
    <w:p>
      <w:pPr>
        <w:pStyle w:val="Heading3"/>
        <w:spacing w:line="312" w:lineRule="auto" w:after="80"/>
        <w:ind w:firstLine="283"/>
        <w:jc w:val="both"/>
      </w:pPr>
      <w:r>
        <w:rPr>
          <w:rFonts w:ascii="Times New Roman" w:hAnsi="Times New Roman" w:eastAsia="Times New Roman" w:cs="Times New Roman"/>
          <w:color w:val="000000"/>
          <w:sz w:val="24"/>
        </w:rPr>
        <w:t xml:space="preserve">4.1.4 Threats to validity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threats are tracked so that the interpretation of Section 4.3 remains bounded.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T1 (Shared-vocabulary leakage between resume and job-description pools, MITIGATED).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early synthesis script drew resume bullets and job-description responsibilities from the same per-track list. In pair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r-backend-01__jd-backend-02</w:t>
      </w:r>
      <w:r>
        <w:rPr>
          <w:rFonts w:ascii="Times New Roman" w:hAnsi="Times New Roman" w:eastAsia="Times New Roman" w:cs="Times New Roman"/>
          <w:color w:val="000000"/>
          <w:sz w:val="24"/>
        </w:rPr>
        <w:t xml:space="preserve">, the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“designed and shipped REST APIs serving production traffic”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appeared on both sides, and the leakage-version keyword-axis correlation was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 The regenerated dataset separates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scripts/verify_disjoint_pools.py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reports mean per-pair content-token overlap falling from 11.82 to 0.44, a 27× reduction, with zero pairs above the &gt;3-token threshold instead of 97. The results below use the post-mitigation dataset; leakage artefacts remain archived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T2 (Self-correlation between compared modes, MEASURED).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Since blended score = 0.40 × heuristic + 0.60 × LLM, the headline blended-versus-heuristic correlation includes a structural floor. Because the backend stores the blended and heuristic scores produced by this formula, the LLM-only score is recoverable without new API calls: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llm_only = (blended − 0.4 × heuristic) / 0.6</w:t>
      </w:r>
      <w:r>
        <w:rPr>
          <w:rFonts w:ascii="Times New Roman" w:hAnsi="Times New Roman" w:eastAsia="Times New Roman" w:cs="Times New Roman"/>
          <w:color w:val="000000"/>
          <w:sz w:val="24"/>
        </w:rPr>
        <w:t xml:space="preserve">. Section 4.3.1’ reports this baseline.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T3 (Non-independent paired observations, ADDRESSED).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100 observations are not independent because each resume appears in three or four pairs and each job description in five pairs. Pearson confidence intervals are therefore computed by cluster bootstrap 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2 000 resamples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seed=42</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T4 (Post-hoc heuristic design, DISCLOSED).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spacing w:line="312" w:lineRule="auto" w:after="80"/>
        <w:ind w:firstLine="283"/>
        <w:jc w:val="both"/>
      </w:pPr>
      <w:r>
        <w:rPr>
          <w:rFonts w:ascii="Times New Roman" w:hAnsi="Times New Roman" w:eastAsia="Times New Roman" w:cs="Times New Roman"/>
          <w:color w:val="000000"/>
          <w:sz w:val="24"/>
        </w:rPr>
        <w:t xml:space="preserve">T1, T2, and T3 are mitigated by regeneration, LLM-only decomposition, and clustered intervals. T4 remains a disclosed limitation.</w:t>
      </w:r>
    </w:p>
    <w:p>
      <w:pPr>
        <w:pStyle w:val="BodyText"/>
        <w:spacing w:line="312" w:lineRule="auto" w:after="80"/>
        <w:ind w:firstLine="283"/>
        <w:jc w:val="both"/>
      </w:pPr>
      <w:r>
        <w:rPr>
          <w:rFonts w:ascii="Times New Roman" w:hAnsi="Times New Roman" w:eastAsia="Times New Roman" w:cs="Times New Roman"/>
          <w:color w:val="000000"/>
          <w:sz w:val="24"/>
        </w:rPr>
        <w:t xml:space="preserve">In Cook-Campbell terms T1 and T2 cluster under construct validity (the operationalisation of agreement between the two scoring modes), T3 falls under statistical-conclusion validity (the inferential machinery accommodating dependent paired observations), and T4 falls under internal validity (researcher degrees of freedom in the post-hoc heuristic design). External validity, the fourth canonical category, is not addressed within the experiment because the dataset is single-language (English), single-author (one synthesiser produced all 30 resumes), and single-evaluator (one Gemini family); Section 4.4 enumerates these as deployment caveats, foregrounded as the most consequential next step before any generalisation beyond the synthetic benchmark.</w:t>
      </w:r>
    </w:p>
    <w:p>
      <w:pPr>
        <w:pStyle w:val="BodyText"/>
        <w:spacing w:line="312" w:lineRule="auto" w:after="80"/>
        <w:ind w:firstLine="283"/>
        <w:jc w:val="both"/>
      </w:pPr>
      <w:r>
        <w:rPr>
          <w:rFonts w:ascii="Times New Roman" w:hAnsi="Times New Roman" w:eastAsia="Times New Roman" w:cs="Times New Roman"/>
          <w:color w:val="000000"/>
          <w:sz w:val="24"/>
        </w:rP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89"/>
    <w:bookmarkEnd w:id="90"/>
    <w:bookmarkStart w:id="100" w:name="the-strong-heuristic-v2"/>
    <w:p>
      <w:pPr>
        <w:pStyle w:val="Heading2"/>
        <w:spacing w:line="312" w:lineRule="auto" w:after="80"/>
        <w:ind w:firstLine="283"/>
        <w:jc w:val="both"/>
      </w:pPr>
      <w:r>
        <w:rPr>
          <w:rFonts w:ascii="Times New Roman" w:hAnsi="Times New Roman" w:eastAsia="Times New Roman" w:cs="Times New Roman"/>
          <w:color w:val="000000"/>
          <w:sz w:val="24"/>
        </w:rPr>
        <w:t xml:space="preserve">4.2 The strong heuristic (v2)</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91" w:name="tfidfweighted-keyword-evidence"/>
    <w:p>
      <w:pPr>
        <w:pStyle w:val="Heading3"/>
        <w:spacing w:line="312" w:lineRule="auto" w:after="80"/>
        <w:ind w:firstLine="283"/>
        <w:jc w:val="both"/>
      </w:pPr>
      <w:r>
        <w:rPr>
          <w:rFonts w:ascii="Times New Roman" w:hAnsi="Times New Roman" w:eastAsia="Times New Roman" w:cs="Times New Roman"/>
          <w:color w:val="000000"/>
          <w:sz w:val="24"/>
        </w:rPr>
        <w:t xml:space="preserve">4.2.1 TF–IDF–weighted keyword evidence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v2 heuristic weights keyword evidence by inverse document frequency, so rare technical terms contribute more than common words [5, 6]. Keyword alignment is computed as</w:t>
      </w:r>
    </w:p>
    <w:p>
      <w:pPr>
        <w:pStyle w:val="BodyText"/>
        <w:spacing w:line="312" w:lineRule="auto" w:after="80"/>
        <w:jc w:val="both"/>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 J)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100,</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color w:val="000000"/>
          <w:sz w:val="24"/>
        </w:rPr>
        <w:t xml:space="preserve">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job description,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w:t>
      </w:r>
      <w:r>
        <w:rPr>
          <w:rFonts w:ascii="Times New Roman" w:hAnsi="Times New Roman" w:eastAsia="Times New Roman" w:cs="Times New Roman"/>
          <w:color w:val="000000"/>
          <w:sz w:val="24"/>
        </w:rPr>
        <w:t xml:space="preserve">(·) extracts the keyword set. BM25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_bm25_score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k₁</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 The final keyword-axis score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0.7 × weighted_keyword_score + 0.3 × min(100, BM25 × 4)</w:t>
      </w:r>
      <w:r>
        <w:rPr>
          <w:rFonts w:ascii="Times New Roman" w:hAnsi="Times New Roman" w:eastAsia="Times New Roman" w:cs="Times New Roman"/>
          <w:color w:val="000000"/>
          <w:sz w:val="24"/>
        </w:rPr>
        <w:t xml:space="preserve">, clamped to [0, 100]. Production uses a bundled ESCO-derived baseline IDF; the evaluation harness recomputes IDF from the job descriptions in the benchmark.</w:t>
      </w:r>
    </w:p>
    <w:bookmarkEnd w:id="91"/>
    <w:bookmarkStart w:id="92" w:name="esco-aligned-skill-normalisation"/>
    <w:p>
      <w:pPr>
        <w:pStyle w:val="Heading3"/>
        <w:spacing w:line="312" w:lineRule="auto" w:after="80"/>
        <w:ind w:firstLine="283"/>
        <w:jc w:val="both"/>
      </w:pPr>
      <w:r>
        <w:rPr>
          <w:rFonts w:ascii="Times New Roman" w:hAnsi="Times New Roman" w:eastAsia="Times New Roman" w:cs="Times New Roman"/>
          <w:color w:val="000000"/>
          <w:sz w:val="24"/>
        </w:rPr>
        <w:t xml:space="preserve">4.2.2 ESCO-aligned skill normalisation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heuristic normalises surface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PostgreSQL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one canonical ESCO label [8, 9, 12]. The bundled JSON contains 107 canonical digital and creative-industry skill entries and is structured for expansion to broader production coverage. Resume and job-description text are scanned for surface variants, mapped to canonical labels, and intersected.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92"/>
    <w:bookmarkStart w:id="93" w:name="fuzzy-matching"/>
    <w:p>
      <w:pPr>
        <w:pStyle w:val="Heading3"/>
        <w:spacing w:line="312" w:lineRule="auto" w:after="80"/>
        <w:ind w:firstLine="283"/>
        <w:jc w:val="both"/>
      </w:pPr>
      <w:r>
        <w:rPr>
          <w:rFonts w:ascii="Times New Roman" w:hAnsi="Times New Roman" w:eastAsia="Times New Roman" w:cs="Times New Roman"/>
          <w:color w:val="000000"/>
          <w:sz w:val="24"/>
        </w:rPr>
        <w:t xml:space="preserve">4.2.3 Fuzzy matching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skills or keywords outside the bundled ESCO subset, v2 applies a normalised string-similarity pass related to edit-distance matching [7] using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difflib.SequenceMatcher</w:t>
      </w:r>
      <w:r>
        <w:rPr>
          <w:rFonts w:ascii="Times New Roman" w:hAnsi="Times New Roman" w:eastAsia="Times New Roman" w:cs="Times New Roman"/>
          <w:color w:val="000000"/>
          <w:sz w:val="24"/>
        </w:rPr>
        <w:t xml:space="preserve">. A job-description keyword is counted when it appears exactly, maps through ESCO, or reaches similarity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0.85 against a resume candidate phrase. The threshold admits typographic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while rejecting unrelated tokens.</w:t>
      </w:r>
    </w:p>
    <w:bookmarkEnd w:id="93"/>
    <w:bookmarkStart w:id="94" w:name="section-weighted-features"/>
    <w:p>
      <w:pPr>
        <w:pStyle w:val="Heading3"/>
        <w:spacing w:line="312" w:lineRule="auto" w:after="80"/>
        <w:ind w:firstLine="283"/>
        <w:jc w:val="both"/>
      </w:pPr>
      <w:r>
        <w:rPr>
          <w:rFonts w:ascii="Times New Roman" w:hAnsi="Times New Roman" w:eastAsia="Times New Roman" w:cs="Times New Roman"/>
          <w:color w:val="000000"/>
          <w:sz w:val="24"/>
        </w:rPr>
        <w:t xml:space="preserve">4.2.4 Section-weighted features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Skill evidence is weighted by resume section because a skill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carries a different signal from the same word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a project description [18]. Matches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 1.0,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Projects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0.7,</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Summary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0.3. The weighted match total is normalised against the maximum possible weighted match.</w:t>
      </w:r>
    </w:p>
    <w:bookmarkEnd w:id="94"/>
    <w:bookmarkStart w:id="95" w:name="quantification-regex"/>
    <w:p>
      <w:pPr>
        <w:pStyle w:val="Heading3"/>
        <w:spacing w:line="312" w:lineRule="auto" w:after="80"/>
        <w:ind w:firstLine="283"/>
        <w:jc w:val="both"/>
      </w:pPr>
      <w:r>
        <w:rPr>
          <w:rFonts w:ascii="Times New Roman" w:hAnsi="Times New Roman" w:eastAsia="Times New Roman" w:cs="Times New Roman"/>
          <w:color w:val="000000"/>
          <w:sz w:val="24"/>
        </w:rPr>
        <w:t xml:space="preserve">4.2.5 Quantification regex</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95"/>
    <w:bookmarkStart w:id="96" w:name="action-verb-scoring"/>
    <w:p>
      <w:pPr>
        <w:pStyle w:val="Heading3"/>
        <w:spacing w:line="312" w:lineRule="auto" w:after="80"/>
        <w:ind w:firstLine="283"/>
        <w:jc w:val="both"/>
      </w:pPr>
      <w:r>
        <w:rPr>
          <w:rFonts w:ascii="Times New Roman" w:hAnsi="Times New Roman" w:eastAsia="Times New Roman" w:cs="Times New Roman"/>
          <w:color w:val="000000"/>
          <w:sz w:val="24"/>
        </w:rPr>
        <w:t xml:space="preserve">4.2.6 Action-verb scoring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clarity sub-score counts the fraction of bullets whose leading token belongs to a curated action-verb dictionary of approximately 190 entries compiled from university career-services resources. Action verbs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“shipped”</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“automated”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treated as stronger ownership evidence than passive or filler openings.</w:t>
      </w:r>
    </w:p>
    <w:bookmarkEnd w:id="96"/>
    <w:bookmarkStart w:id="97" w:name="score-combination"/>
    <w:p>
      <w:pPr>
        <w:pStyle w:val="Heading3"/>
        <w:spacing w:line="312" w:lineRule="auto" w:after="80"/>
        <w:ind w:firstLine="283"/>
        <w:jc w:val="both"/>
      </w:pPr>
      <w:r>
        <w:rPr>
          <w:rFonts w:ascii="Times New Roman" w:hAnsi="Times New Roman" w:eastAsia="Times New Roman" w:cs="Times New Roman"/>
          <w:color w:val="000000"/>
          <w:sz w:val="24"/>
        </w:rPr>
        <w:t xml:space="preserve">4.2.7 Score combination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 sub-scores (keyword alignment, impact, structure, clarity, completeness) are combined as a weighted mean: 0.30, 0.25, 0.15, 0.15, and 0.15. These weights are author-selected rather than survey-derived. The blended-mode 0.40/0.60 split is also an engineering choice rather than an optimised parameter: it keeps the default mode language-model-led while retaining a deterministic scoring floor. Section 4.3.5 reports an equal-weight sensitivity check for the heuristic sub-score weights.</w:t>
      </w:r>
    </w:p>
    <w:bookmarkEnd w:id="97"/>
    <w:bookmarkStart w:id="98" w:name="implementation-notes"/>
    <w:p>
      <w:pPr>
        <w:pStyle w:val="Heading3"/>
        <w:spacing w:line="312" w:lineRule="auto" w:after="80"/>
        <w:ind w:firstLine="283"/>
        <w:jc w:val="both"/>
      </w:pPr>
      <w:r>
        <w:rPr>
          <w:rFonts w:ascii="Times New Roman" w:hAnsi="Times New Roman" w:eastAsia="Times New Roman" w:cs="Times New Roman"/>
          <w:color w:val="000000"/>
          <w:sz w:val="24"/>
        </w:rPr>
        <w:t xml:space="preserve">4.2.8 Implementation notes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strong heuristic v2 lives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alongside the lightweight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selects the strong implementation for the analytical tools and is the default for the experimental run reported here.</w:t>
      </w:r>
    </w:p>
    <w:bookmarkEnd w:id="98"/>
    <w:bookmarkStart w:id="99" w:name="the-administrative-toggle"/>
    <w:p>
      <w:pPr>
        <w:pStyle w:val="Heading3"/>
        <w:spacing w:line="312" w:lineRule="auto" w:after="80"/>
        <w:ind w:firstLine="283"/>
        <w:jc w:val="both"/>
      </w:pPr>
      <w:r>
        <w:rPr>
          <w:rFonts w:ascii="Times New Roman" w:hAnsi="Times New Roman" w:eastAsia="Times New Roman" w:cs="Times New Roman"/>
          <w:color w:val="000000"/>
          <w:sz w:val="24"/>
        </w:rPr>
        <w:t xml:space="preserve">4.2.9 The administrative toggle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Runtime switchability is provided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which accepts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An in-memory override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app/services/runtime_settings.py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updated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by analytical services on every request. The override supports live demonstration during the diploma defence but resets on process restart, leaving the environment variable as the configuration of record.</w:t>
      </w:r>
    </w:p>
    <w:p>
      <w:r>
        <w:br w:type="page"/>
      </w:r>
    </w:p>
    <w:bookmarkEnd w:id="99"/>
    <w:bookmarkEnd w:id="100"/>
    <w:bookmarkStart w:id="112" w:name="results"/>
    <w:p>
      <w:pPr>
        <w:pStyle w:val="Heading2"/>
        <w:spacing w:line="312" w:lineRule="auto" w:after="80"/>
        <w:ind w:firstLine="283"/>
        <w:jc w:val="both"/>
      </w:pPr>
      <w:r>
        <w:rPr>
          <w:rFonts w:ascii="Times New Roman" w:hAnsi="Times New Roman" w:eastAsia="Times New Roman" w:cs="Times New Roman"/>
          <w:color w:val="000000"/>
          <w:sz w:val="24"/>
        </w:rPr>
        <w:t xml:space="preserve">4.3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produced 100 paired observations. Both modes succeeded on every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generated the tables below 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w:t>
      </w:r>
    </w:p>
    <w:bookmarkStart w:id="101" w:name="score-agreement"/>
    <w:p>
      <w:pPr>
        <w:pStyle w:val="Heading3"/>
        <w:spacing w:line="312" w:lineRule="auto" w:after="80"/>
        <w:ind w:firstLine="283"/>
        <w:jc w:val="both"/>
      </w:pPr>
      <w:r>
        <w:rPr>
          <w:rFonts w:ascii="Times New Roman" w:hAnsi="Times New Roman" w:eastAsia="Times New Roman" w:cs="Times New Roman"/>
          <w:color w:val="000000"/>
          <w:sz w:val="24"/>
        </w:rPr>
        <w:t xml:space="preserve">4.3.1 Score agreement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post-mitigation agreement is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0.836</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[95% CI 0.762, 0.896], Spearman ρ =</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0.847</w:t>
      </w:r>
      <w:r>
        <w:rPr>
          <w:rFonts w:ascii="Times New Roman" w:hAnsi="Times New Roman" w:eastAsia="Times New Roman" w:cs="Times New Roman"/>
          <w:color w:val="000000"/>
          <w:sz w:val="24"/>
        </w:rPr>
        <w:t xml:space="preserve">, and Kendall τ =</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0.669</w:t>
      </w:r>
      <w:r>
        <w:rPr>
          <w:rFonts w:ascii="Times New Roman" w:hAnsi="Times New Roman" w:eastAsia="Times New Roman" w:cs="Times New Roman"/>
          <w:color w:val="000000"/>
          <w:sz w:val="24"/>
        </w:rPr>
        <w:t xml:space="preserve">. The archived leakage-version run was weaker: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0.727 [95% CI 0.609, 0.814], Spearman ρ = 0.708, and Kendall τ = 0.526.</w:t>
      </w:r>
    </w:p>
    <w:p>
      <w:pPr>
        <w:pStyle w:val="BodyText"/>
        <w:spacing w:line="312" w:lineRule="auto" w:after="80"/>
        <w:ind w:firstLine="283"/>
        <w:jc w:val="both"/>
      </w:pPr>
      <w:r>
        <w:rPr>
          <w:rFonts w:ascii="Times New Roman" w:hAnsi="Times New Roman" w:eastAsia="Times New Roman" w:cs="Times New Roman"/>
          <w:color w:val="000000"/>
          <w:sz w:val="24"/>
        </w:rPr>
        <w:t xml:space="preserve">The post-mitigation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higher than the leakage-version value even though leakage was expected to inflate keyword overlap. The per-sub-score table explains the result: lexical leakage added noise to some non-keyword axes, while the disjoint construction preserved legitimate canonical skill overlap.</w:t>
      </w:r>
    </w:p>
    <w:p>
      <w:pPr>
        <w:pStyle w:val="BodyText"/>
        <w:spacing w:line="312" w:lineRule="auto" w:after="80"/>
        <w:ind w:firstLine="283"/>
        <w:jc w:val="both"/>
      </w:pPr>
      <w:r>
        <w:rPr>
          <w:rFonts w:ascii="Times New Roman" w:hAnsi="Times New Roman" w:eastAsia="Times New Roman" w:cs="Times New Roman"/>
          <w:color w:val="000000"/>
          <w:sz w:val="24"/>
        </w:rPr>
        <w:t xml:space="preserve">The post-mitigation sub-score correlations are:</w:t>
      </w:r>
    </w:p>
    <w:p>
      <w:pPr>
        <w:pStyle w:val="Compact"/>
        <w:numPr>
          <w:ilvl w:val="0"/>
          <w:numId w:val="1004"/>
        </w:numPr>
        <w:spacing w:line="312" w:lineRule="auto" w:after="8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Spearman ρ = 0.946, Kendall τ = 0.845; leakage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w:t>
      </w:r>
    </w:p>
    <w:p>
      <w:pPr>
        <w:pStyle w:val="Compact"/>
        <w:numPr>
          <w:ilvl w:val="0"/>
          <w:numId w:val="1004"/>
        </w:numPr>
        <w:spacing w:line="312" w:lineRule="auto" w:after="80"/>
        <w:ind w:firstLine="283"/>
        <w:jc w:val="both"/>
      </w:pPr>
      <w:r>
        <w:rPr>
          <w:rFonts w:ascii="Times New Roman" w:hAnsi="Times New Roman" w:eastAsia="Times New Roman" w:cs="Times New Roman"/>
          <w:b/>
          <w:b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0.430, Spearman ρ = 0.447, Kendall τ = 0.332; leakage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0.561.</w:t>
      </w:r>
    </w:p>
    <w:p>
      <w:pPr>
        <w:pStyle w:val="Compact"/>
        <w:numPr>
          <w:ilvl w:val="0"/>
          <w:numId w:val="1004"/>
        </w:numPr>
        <w:spacing w:line="312" w:lineRule="auto" w:after="80"/>
        <w:ind w:firstLine="283"/>
        <w:jc w:val="both"/>
      </w:pPr>
      <w:r>
        <w:rPr>
          <w:rFonts w:ascii="Times New Roman" w:hAnsi="Times New Roman" w:eastAsia="Times New Roman" w:cs="Times New Roman"/>
          <w:b/>
          <w:bCs/>
          <w:color w:val="000000"/>
          <w:sz w:val="24"/>
        </w:rPr>
        <w:t xml:space="preserve">Structure: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0.830, Spearman ρ = 0.865, Kendall τ = 0.804; leakage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0.440.</w:t>
      </w:r>
    </w:p>
    <w:p>
      <w:pPr>
        <w:pStyle w:val="Compact"/>
        <w:numPr>
          <w:ilvl w:val="0"/>
          <w:numId w:val="1004"/>
        </w:numPr>
        <w:spacing w:line="312" w:lineRule="auto" w:after="80"/>
        <w:ind w:firstLine="283"/>
        <w:jc w:val="both"/>
      </w:pPr>
      <w:r>
        <w:rPr>
          <w:rFonts w:ascii="Times New Roman" w:hAnsi="Times New Roman" w:eastAsia="Times New Roman" w:cs="Times New Roman"/>
          <w:b/>
          <w:b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Spearman ρ = 0.373, Kendall τ = 0.289; leakage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0.475.</w:t>
      </w:r>
    </w:p>
    <w:p>
      <w:pPr>
        <w:pStyle w:val="Compact"/>
        <w:numPr>
          <w:ilvl w:val="0"/>
          <w:numId w:val="1004"/>
        </w:numPr>
        <w:spacing w:line="312" w:lineRule="auto" w:after="80"/>
        <w:ind w:firstLine="283"/>
        <w:jc w:val="both"/>
      </w:pPr>
      <w:r>
        <w:rPr>
          <w:rFonts w:ascii="Times New Roman" w:hAnsi="Times New Roman" w:eastAsia="Times New Roman" w:cs="Times New Roman"/>
          <w:b/>
          <w:b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0.756, Spearman ρ = 0.793, Kendall τ = 0.689; leakage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0.691.</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agreement is strongest on keywords and structure and weakest on clarity, the axis where the language model sees prose-quality evidence that the heuristic cannot inspect. A correlation-space sanity check is consistent with the blended formula. Under equal-variance assumptions on the heuristic and LLM-only sub-scores, the algebra of</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predicts r(blended, heuristic) ≈ 0.857 from the observed r(LLM-only, heuristic) = 0.627; the observed value 0.836 sits within the cluster-bootstrap half-width of this prediction, indicating that the headline blended-versus-heuristic agreement is a transparent function of the two upstream agreements rather than an artefact of leakage or evaluator drift.</w:t>
      </w:r>
    </w:p>
    <w:p>
      <w:pPr>
        <w:pStyle w:val="BodyText"/>
        <w:spacing w:line="312" w:lineRule="auto" w:after="80"/>
        <w:ind w:firstLine="283"/>
        <w:jc w:val="both"/>
      </w:pPr>
      <w:r>
        <w:rPr>
          <w:rFonts w:ascii="Times New Roman" w:hAnsi="Times New Roman" w:eastAsia="Times New Roman" w:cs="Times New Roman"/>
          <w:color w:val="000000"/>
          <w:sz w:val="24"/>
        </w:rP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101"/>
    <w:bookmarkStart w:id="102" w:name="llm-only-baseline-t2-mitigation"/>
    <w:p>
      <w:pPr>
        <w:pStyle w:val="Heading3"/>
        <w:spacing w:line="312" w:lineRule="auto" w:after="80"/>
        <w:ind w:firstLine="283"/>
        <w:jc w:val="both"/>
      </w:pPr>
      <w:r>
        <w:rPr>
          <w:rFonts w:ascii="Times New Roman" w:hAnsi="Times New Roman" w:eastAsia="Times New Roman" w:cs="Times New Roman"/>
          <w:color w:val="000000"/>
          <w:sz w:val="24"/>
        </w:rPr>
        <w:t xml:space="preserve">4.3.1’ LLM-only baseline (T2 mitigation)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locked-payload design makes the LLM-only score recoverable as:</w:t>
      </w:r>
    </w:p>
    <w:p>
      <w:pPr>
        <w:pStyle w:val="BodyText"/>
        <w:spacing w:line="312" w:lineRule="auto" w:after="80"/>
        <w:ind w:firstLine="283"/>
        <w:jc w:val="both"/>
      </w:pPr>
      <w:r>
        <w:rPr>
          <w:rFonts w:ascii="Times New Roman" w:hAnsi="Times New Roman" w:eastAsia="Times New Roman" w:cs="Times New Roman"/>
          <w:color w:val="000000"/>
          <w:sz w:val="24"/>
        </w:rPr>
        <w:t xml:space="preserve">LLM-only = (blended − 0.4 × heuristic) / 0.6</w:t>
      </w:r>
    </w:p>
    <w:p>
      <w:pPr>
        <w:pStyle w:val="BodyText"/>
        <w:spacing w:line="312" w:lineRule="auto" w:after="80"/>
        <w:ind w:firstLine="283"/>
        <w:jc w:val="both"/>
      </w:pPr>
      <w:r>
        <w:rPr>
          <w:rFonts w:ascii="Times New Roman" w:hAnsi="Times New Roman" w:eastAsia="Times New Roman" w:cs="Times New Roman"/>
          <w:color w:val="000000"/>
          <w:sz w:val="24"/>
        </w:rPr>
        <w:t xml:space="preserve">The three pairwise correlations are:</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Blended vs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0.836</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[0.762, 0.896], Spearman ρ = 0.847.</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LLM-only vs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0.627</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[0.476, 0.765], Spearman ρ = 0.596.</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Blended vs LLM-only: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0.952 [0.923, 0.973].</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spacing w:line="312" w:lineRule="auto" w:after="80"/>
        <w:ind w:firstLine="283"/>
        <w:jc w:val="both"/>
      </w:pPr>
      <w:r>
        <w:rPr>
          <w:rFonts w:ascii="Times New Roman" w:hAnsi="Times New Roman" w:eastAsia="Times New Roman" w:cs="Times New Roman"/>
          <w:color w:val="000000"/>
          <w:sz w:val="24"/>
        </w:rP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102"/>
    <w:bookmarkStart w:id="106" w:name="score-distribution"/>
    <w:p>
      <w:pPr>
        <w:pStyle w:val="Heading3"/>
        <w:spacing w:line="312" w:lineRule="auto" w:after="80"/>
        <w:ind w:firstLine="283"/>
        <w:jc w:val="both"/>
      </w:pPr>
      <w:r>
        <w:rPr>
          <w:rFonts w:ascii="Times New Roman" w:hAnsi="Times New Roman" w:eastAsia="Times New Roman" w:cs="Times New Roman"/>
          <w:color w:val="000000"/>
          <w:sz w:val="24"/>
        </w:rPr>
        <w:t xml:space="preserve">4.3.2 Score distribution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Across all 100 pairs, blended mode has mean 71.84, standard deviation 7.19, median 73.00, 5th percentile 58.00, and 95th percentile 81.00. Heuristic v2 mode has mean 72.66, standard deviation 7.08, median 74.50, 5th percentile 59.00, and 95th percentile 82.00. The two distributions have KS distance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0.100</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color w:val="000000"/>
          <w:sz w:val="24"/>
        </w:rPr>
        <w:t xml:space="preserve">The means differ by 0.82 points and the medians by 1.50 points, so the aggregate score distributions are close. The KS distance of 0.100 is half the leakage-version KS distance of 0.200. Figure 4.1 visualises the two distributions.</w:t>
      </w:r>
    </w:p>
    <w:p>
      <w:pPr>
        <w:pStyle w:val="BodyText"/>
        <w:keepNext/>
        <w:spacing w:before="60" w:after="40"/>
        <w:jc w:val="center"/>
      </w:pPr>
      <w:r>
        <w:drawing>
          <wp:inline>
            <wp:extent cx="4031999" cy="2851798"/>
            <wp:effectExtent b="0" l="0" r="0" t="0"/>
            <wp:docPr descr="" title="" id="104" name="Picture"/>
            <a:graphic>
              <a:graphicData uri="http://schemas.openxmlformats.org/drawingml/2006/picture">
                <pic:pic>
                  <pic:nvPicPr>
                    <pic:cNvPr descr="figures/figure-4-1-score-distribution.png" id="105" name="Picture"/>
                    <pic:cNvPicPr>
                      <a:picLocks noChangeArrowheads="1" noChangeAspect="1"/>
                    </pic:cNvPicPr>
                  </pic:nvPicPr>
                  <pic:blipFill>
                    <a:blip r:embed="rId103"/>
                    <a:stretch>
                      <a:fillRect/>
                    </a:stretch>
                  </pic:blipFill>
                  <pic:spPr bwMode="auto">
                    <a:xfrm>
                      <a:off x="0" y="0"/>
                      <a:ext cx="4031999" cy="28517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4.1: Distribution of overall scores across 100 synthetic (resume, JD) pairs. Top: heuristic-only mode (mean 72.66, median 74.5). Bottom: blended mode (mean 71.84, median 73.0). The dashed vertical line marks the mean and the dotted vertical line marks the median in each panel.</w:t>
      </w:r>
    </w:p>
    <w:p>
      <w:r>
        <w:br w:type="page"/>
      </w:r>
    </w:p>
    <w:bookmarkEnd w:id="106"/>
    <w:bookmarkStart w:id="107" w:name="latency"/>
    <w:p>
      <w:pPr>
        <w:pStyle w:val="Heading3"/>
        <w:spacing w:line="312" w:lineRule="auto" w:after="80"/>
        <w:ind w:firstLine="283"/>
        <w:jc w:val="both"/>
      </w:pPr>
      <w:r>
        <w:rPr>
          <w:rFonts w:ascii="Times New Roman" w:hAnsi="Times New Roman" w:eastAsia="Times New Roman" w:cs="Times New Roman"/>
          <w:color w:val="000000"/>
          <w:sz w:val="24"/>
        </w:rPr>
        <w:t xml:space="preserve">4.3.3 Latency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Service-side latency for one tool invocation is:</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Median: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blended 18 232.1 ms, heuristic v2 25.5 ms, ratio 714×.</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95th percentile: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blended 24 713.7 ms, heuristic v2 32.1 ms, ratio 770×.</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Maximum observed: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blended 65 926.6 ms, heuristic v2 34.1 ms, ratio 1 933×.</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Blended latency is dominated by Gemini structured-output inference over approximately 608 input tokens plus prompt overhead and 1 118 output tokens. The maximum of 65 926.6 ms reflects one retry-after-timeout case handled by the retry policy. Heuristic v2 runs in tens of milliseconds and satisfies the N1a target from Section 2.1.2. Component-level decomposition between token generation, network round-trip, and serialisation overhead was not instrumented in the prototype; future work could profile this granularity (for instance via OpenTelemetry spans on the Vertex AI client or middleware timing decorators) to localise optimisation targets.</w:t>
      </w:r>
    </w:p>
    <w:bookmarkEnd w:id="107"/>
    <w:bookmarkStart w:id="108" w:name="per-call-cost"/>
    <w:p>
      <w:pPr>
        <w:pStyle w:val="Heading3"/>
        <w:spacing w:line="312" w:lineRule="auto" w:after="80"/>
        <w:ind w:firstLine="283"/>
        <w:jc w:val="both"/>
      </w:pPr>
      <w:r>
        <w:rPr>
          <w:rFonts w:ascii="Times New Roman" w:hAnsi="Times New Roman" w:eastAsia="Times New Roman" w:cs="Times New Roman"/>
          <w:color w:val="000000"/>
          <w:sz w:val="24"/>
        </w:rPr>
        <w:t xml:space="preserve">4.3.4 Per-call cost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Cost uses the Vertex AI Gemini 2.5 Flash rates in effect at measurement time: input $0.075 / 1 M tokens and output $0.30 / 1 M tokens.</w:t>
      </w:r>
    </w:p>
    <w:p>
      <w:pPr>
        <w:pStyle w:val="BodyText"/>
        <w:spacing w:line="312" w:lineRule="auto" w:after="80"/>
        <w:ind w:firstLine="283"/>
        <w:jc w:val="both"/>
      </w:pPr>
      <w:r>
        <w:rPr>
          <w:rFonts w:ascii="Times New Roman" w:hAnsi="Times New Roman" w:eastAsia="Times New Roman" w:cs="Times New Roman"/>
          <w:color w:val="000000"/>
          <w:sz w:val="24"/>
        </w:rPr>
        <w:t xml:space="preserve">The blended run used an estimated 608 input tokens and 1 118 output tokens per call on average. This gives an average per-call LLM-side cost of $0.00038 and a 95th-percentile per-call estimate of $0.00042. At 1 000 analyses per day, the projected monthly blended-mode bill is $11.43. Heuristic v2 has zero LLM-side token cost in all three rows.</w:t>
      </w:r>
    </w:p>
    <w:p>
      <w:pPr>
        <w:pStyle w:val="BodyText"/>
        <w:spacing w:line="312" w:lineRule="auto" w:after="80"/>
        <w:ind w:firstLine="283"/>
        <w:jc w:val="both"/>
      </w:pPr>
      <w:r>
        <w:rPr>
          <w:rFonts w:ascii="Times New Roman" w:hAnsi="Times New Roman" w:eastAsia="Times New Roman" w:cs="Times New Roman"/>
          <w:color w:val="000000"/>
          <w:sz w:val="24"/>
        </w:rPr>
        <w:t xml:space="preserve">The estimator follows the ~4 characters per token rule and does not include all server-side prompt overhead, so the claim is order-of-magnitude rather than billing-grade. At 1 000 analyses per day, blended mode projects to roughly $11.43 per month in LLM-side spend on this dataset; heuristic mode is free on the LLM side.</w:t>
      </w:r>
    </w:p>
    <w:p>
      <w:pPr>
        <w:pStyle w:val="BodyText"/>
        <w:spacing w:line="312" w:lineRule="auto" w:after="80"/>
        <w:ind w:firstLine="283"/>
        <w:jc w:val="both"/>
      </w:pPr>
      <w:r>
        <w:rPr>
          <w:rFonts w:ascii="Times New Roman" w:hAnsi="Times New Roman" w:eastAsia="Times New Roman" w:cs="Times New Roman"/>
          <w:color w:val="000000"/>
          <w:sz w:val="24"/>
        </w:rP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108"/>
    <w:bookmarkStart w:id="109" w:name="Xc5b9496d48d597ec2064019f244ae133cf5ccd1"/>
    <w:p>
      <w:pPr>
        <w:pStyle w:val="Heading3"/>
        <w:spacing w:line="312" w:lineRule="auto" w:after="80"/>
        <w:ind w:firstLine="283"/>
        <w:jc w:val="both"/>
      </w:pPr>
      <w:r>
        <w:rPr>
          <w:rFonts w:ascii="Times New Roman" w:hAnsi="Times New Roman" w:eastAsia="Times New Roman" w:cs="Times New Roman"/>
          <w:color w:val="000000"/>
          <w:sz w:val="24"/>
        </w:rPr>
        <w:t xml:space="preserve">4.3.5 Sensitivity to the score-combination weights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author-selected weights from Section 4.2.7 are compared with equal weights recomputed offline from the same per-sub-score breakdown.</w:t>
      </w:r>
    </w:p>
    <w:p>
      <w:pPr>
        <w:pStyle w:val="BodyText"/>
        <w:spacing w:line="312" w:lineRule="auto" w:after="80"/>
        <w:ind w:firstLine="283"/>
        <w:jc w:val="both"/>
      </w:pPr>
      <w:r>
        <w:rPr>
          <w:rFonts w:ascii="Times New Roman" w:hAnsi="Times New Roman" w:eastAsia="Times New Roman" w:cs="Times New Roman"/>
          <w:color w:val="000000"/>
          <w:sz w:val="24"/>
        </w:rPr>
        <w:t xml:space="preserve">The author-selected 0.30/0.25/0.15/0.15/0.15 weighting gives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and Spearman ρ = 0.847. Equal 0.20 weighting across all five sub-scores gives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0.813 and Spearman ρ = 0.823.</w:t>
      </w:r>
    </w:p>
    <w:p>
      <w:pPr>
        <w:pStyle w:val="BodyText"/>
        <w:spacing w:line="312" w:lineRule="auto" w:after="80"/>
        <w:ind w:firstLine="283"/>
        <w:jc w:val="both"/>
      </w:pPr>
      <w:r>
        <w:rPr>
          <w:rFonts w:ascii="Times New Roman" w:hAnsi="Times New Roman" w:eastAsia="Times New Roman" w:cs="Times New Roman"/>
          <w:color w:val="000000"/>
          <w:sz w:val="24"/>
        </w:rPr>
        <w:t xml:space="preserve">Pearson moves by Δ = −0.023 and Spearman by Δ = −0.024 after rounding to three decimals. Both remain above the practical 0.7 interpretation anchor, so the result is not dependent on the exact heuristic sub-score weighting choice.</w:t>
      </w:r>
    </w:p>
    <w:bookmarkEnd w:id="109"/>
    <w:bookmarkStart w:id="110" w:name="heuristic-enhancement-ablation-stage-h"/>
    <w:p>
      <w:pPr>
        <w:pStyle w:val="Heading3"/>
        <w:spacing w:line="312" w:lineRule="auto" w:after="80"/>
        <w:ind w:firstLine="283"/>
        <w:jc w:val="both"/>
      </w:pPr>
      <w:r>
        <w:rPr>
          <w:rFonts w:ascii="Times New Roman" w:hAnsi="Times New Roman" w:eastAsia="Times New Roman" w:cs="Times New Roman"/>
          <w:color w:val="000000"/>
          <w:sz w:val="24"/>
        </w:rPr>
        <w:t xml:space="preserve">4.3.6 Heuristic-enhancement ablation (Stage 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Stage H tested whether targeted heuristic enhancements could close the LLM-only residual without adding a deployed neural dependency. A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quality_signals_v3.py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module added five gated signals: SBERT semantic fallback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p>
      <w:pPr>
        <w:pStyle w:val="BodyText"/>
        <w:spacing w:line="312" w:lineRule="auto" w:after="80"/>
        <w:ind w:firstLine="283"/>
        <w:jc w:val="both"/>
      </w:pPr>
      <w:r>
        <w:rPr>
          <w:rFonts w:ascii="Times New Roman" w:hAnsi="Times New Roman" w:eastAsia="Times New Roman" w:cs="Times New Roman"/>
          <w:color w:val="000000"/>
          <w:sz w:val="24"/>
        </w:rPr>
        <w:t xml:space="preserve">The Stage H variants produce the following Pearson correlations against LLM-only:</w:t>
      </w:r>
    </w:p>
    <w:p>
      <w:pPr>
        <w:pStyle w:val="Compact"/>
        <w:numPr>
          <w:ilvl w:val="0"/>
          <w:numId w:val="1007"/>
        </w:numPr>
        <w:spacing w:line="312" w:lineRule="auto" w:after="80"/>
        <w:ind w:firstLine="283"/>
        <w:jc w:val="both"/>
      </w:pPr>
      <w:r>
        <w:rPr>
          <w:rFonts w:ascii="Times New Roman" w:hAnsi="Times New Roman" w:eastAsia="Times New Roman" w:cs="Times New Roman"/>
          <w:b/>
          <w:bCs/>
          <w:color w:val="000000"/>
          <w:sz w:val="24"/>
        </w:rPr>
        <w:t xml:space="preserve">heuristic-v2 (BM25 + ESCO + fuzzy):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0.627</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[0.470, 0.758], Spearman ρ = 0.596, baseline.</w:t>
      </w:r>
    </w:p>
    <w:p>
      <w:pPr>
        <w:pStyle w:val="Compact"/>
        <w:numPr>
          <w:ilvl w:val="0"/>
          <w:numId w:val="1007"/>
        </w:numPr>
        <w:spacing w:line="312" w:lineRule="auto" w:after="80"/>
        <w:ind w:firstLine="283"/>
        <w:jc w:val="both"/>
      </w:pPr>
      <w:r>
        <w:rPr>
          <w:rFonts w:ascii="Times New Roman" w:hAnsi="Times New Roman" w:eastAsia="Times New Roman" w:cs="Times New Roman"/>
          <w:b/>
          <w:bCs/>
          <w:color w:val="000000"/>
          <w:sz w:val="24"/>
        </w:rPr>
        <w:t xml:space="preserve">heuristic-v3 with no Stage H features: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[0.470, 0.758], Spearman ρ = 0.596, Δ = +0.000.</w:t>
      </w:r>
    </w:p>
    <w:p>
      <w:pPr>
        <w:pStyle w:val="Compact"/>
        <w:numPr>
          <w:ilvl w:val="0"/>
          <w:numId w:val="1007"/>
        </w:numPr>
        <w:spacing w:line="312" w:lineRule="auto" w:after="80"/>
        <w:ind w:firstLine="283"/>
        <w:jc w:val="both"/>
      </w:pPr>
      <w:r>
        <w:rPr>
          <w:rFonts w:ascii="Times New Roman" w:hAnsi="Times New Roman" w:eastAsia="Times New Roman" w:cs="Times New Roman"/>
          <w:b/>
          <w:bCs/>
          <w:color w:val="000000"/>
          <w:sz w:val="24"/>
        </w:rPr>
        <w:t xml:space="preserve">Bigram/trigram matching (H.4):</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0.629 [0.470, 0.758], Spearman ρ = 0.583, Δ = +0.002.</w:t>
      </w:r>
    </w:p>
    <w:p>
      <w:pPr>
        <w:pStyle w:val="Compact"/>
        <w:numPr>
          <w:ilvl w:val="0"/>
          <w:numId w:val="1007"/>
        </w:numPr>
        <w:spacing w:line="312" w:lineRule="auto" w:after="80"/>
        <w:ind w:firstLine="283"/>
        <w:jc w:val="both"/>
      </w:pPr>
      <w:r>
        <w:rPr>
          <w:rFonts w:ascii="Times New Roman" w:hAnsi="Times New Roman" w:eastAsia="Times New Roman" w:cs="Times New Roman"/>
          <w:b/>
          <w:bCs/>
          <w:color w:val="000000"/>
          <w:sz w:val="24"/>
        </w:rPr>
        <w:t xml:space="preserve">SBERT semantic fallback (H.1):</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[0.452, 0.759], Spearman ρ = 0.573, Δ = −0.004.</w:t>
      </w:r>
    </w:p>
    <w:p>
      <w:pPr>
        <w:pStyle w:val="Compact"/>
        <w:numPr>
          <w:ilvl w:val="0"/>
          <w:numId w:val="1007"/>
        </w:numPr>
        <w:spacing w:line="312" w:lineRule="auto" w:after="80"/>
        <w:ind w:firstLine="283"/>
        <w:jc w:val="both"/>
      </w:pPr>
      <w:r>
        <w:rPr>
          <w:rFonts w:ascii="Times New Roman" w:hAnsi="Times New Roman" w:eastAsia="Times New Roman" w:cs="Times New Roman"/>
          <w:b/>
          <w:bCs/>
          <w:color w:val="000000"/>
          <w:sz w:val="24"/>
        </w:rPr>
        <w:t xml:space="preserve">STAR detection (H.2):</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0.621 [0.463, 0.755], Spearman ρ = 0.596, Δ = −0.006.</w:t>
      </w:r>
    </w:p>
    <w:p>
      <w:pPr>
        <w:pStyle w:val="Compact"/>
        <w:numPr>
          <w:ilvl w:val="0"/>
          <w:numId w:val="1007"/>
        </w:numPr>
        <w:spacing w:line="312" w:lineRule="auto" w:after="80"/>
        <w:ind w:firstLine="283"/>
        <w:jc w:val="both"/>
      </w:pPr>
      <w:r>
        <w:rPr>
          <w:rFonts w:ascii="Times New Roman" w:hAnsi="Times New Roman" w:eastAsia="Times New Roman" w:cs="Times New Roman"/>
          <w:b/>
          <w:bCs/>
          <w:color w:val="000000"/>
          <w:sz w:val="24"/>
        </w:rPr>
        <w:t xml:space="preserve">ESCO expansion 107 → 354 (H.5):</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0.617 [0.461, 0.752], Spearman ρ = 0.578, Δ = −0.009.</w:t>
      </w:r>
    </w:p>
    <w:p>
      <w:pPr>
        <w:pStyle w:val="Compact"/>
        <w:numPr>
          <w:ilvl w:val="0"/>
          <w:numId w:val="1007"/>
        </w:numPr>
        <w:spacing w:line="312" w:lineRule="auto" w:after="80"/>
        <w:ind w:firstLine="283"/>
        <w:jc w:val="both"/>
      </w:pPr>
      <w:r>
        <w:rPr>
          <w:rFonts w:ascii="Times New Roman" w:hAnsi="Times New Roman" w:eastAsia="Times New Roman" w:cs="Times New Roman"/>
          <w:b/>
          <w:bCs/>
          <w:color w:val="000000"/>
          <w:sz w:val="24"/>
        </w:rPr>
        <w:t xml:space="preserve">Cross-axis coherence (H.3):</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0.605 [0.438, 0.746], Spearman ρ = 0.568, Δ = −0.022.</w:t>
      </w:r>
    </w:p>
    <w:p>
      <w:pPr>
        <w:pStyle w:val="Compact"/>
        <w:numPr>
          <w:ilvl w:val="0"/>
          <w:numId w:val="1007"/>
        </w:numPr>
        <w:spacing w:line="312" w:lineRule="auto" w:after="80"/>
        <w:ind w:firstLine="283"/>
        <w:jc w:val="both"/>
      </w:pPr>
      <w:r>
        <w:rPr>
          <w:rFonts w:ascii="Times New Roman" w:hAnsi="Times New Roman" w:eastAsia="Times New Roman" w:cs="Times New Roman"/>
          <w:b/>
          <w:bCs/>
          <w:color w:val="000000"/>
          <w:sz w:val="24"/>
        </w:rPr>
        <w:t xml:space="preserve">heuristic-v3 full stack:</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[0.415, 0.735], Spearman ρ = 0.556, Δ = −0.036.</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result is a controlled null with small negative drift in the full configuration.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v3-empty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reproduces v2 exactly to three decimals, validating the module boundary. Single-feature deltas range from +0.002 to −0.022 and remain inside the cluster-bootstrap interval width. The full v3 stack falls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suggesting that small false-positive effects compound.</w:t>
      </w:r>
    </w:p>
    <w:p>
      <w:pPr>
        <w:pStyle w:val="BodyText"/>
        <w:spacing w:line="312" w:lineRule="auto" w:after="80"/>
        <w:ind w:firstLine="283"/>
        <w:jc w:val="both"/>
      </w:pPr>
      <w:r>
        <w:rPr>
          <w:rFonts w:ascii="Times New Roman" w:hAnsi="Times New Roman" w:eastAsia="Times New Roman" w:cs="Times New Roman"/>
          <w:color w:val="000000"/>
          <w:sz w:val="24"/>
        </w:rP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backend/app/data/esco_skills_expanded.json</w:t>
      </w:r>
      <w:r>
        <w:rPr>
          <w:rFonts w:ascii="Times New Roman" w:hAnsi="Times New Roman" w:eastAsia="Times New Roman" w:cs="Times New Roman"/>
          <w:color w:val="000000"/>
          <w:sz w:val="24"/>
        </w:rPr>
        <w:t xml:space="preserve">; PyTorch and sentence-transformers stay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backend/requirements-thesis-eval.txt</w:t>
      </w:r>
      <w:r>
        <w:rPr>
          <w:rFonts w:ascii="Times New Roman" w:hAnsi="Times New Roman" w:eastAsia="Times New Roman" w:cs="Times New Roman"/>
          <w:color w:val="000000"/>
          <w:sz w:val="24"/>
        </w:rPr>
        <w:t xml:space="preserve">, outside the production requirements.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10"/>
    <w:bookmarkStart w:id="111" w:name="Xcff2c0d3320ec1ce82f83c9b1d53013643ebe8f"/>
    <w:p>
      <w:pPr>
        <w:pStyle w:val="Heading3"/>
        <w:spacing w:line="312" w:lineRule="auto" w:after="80"/>
        <w:ind w:firstLine="283"/>
        <w:jc w:val="both"/>
      </w:pPr>
      <w:r>
        <w:rPr>
          <w:rFonts w:ascii="Times New Roman" w:hAnsi="Times New Roman" w:eastAsia="Times New Roman" w:cs="Times New Roman"/>
          <w:color w:val="000000"/>
          <w:sz w:val="24"/>
        </w:rPr>
        <w:t xml:space="preserve">4.3.7 Implementation note on Stage H reproducibility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ablation reuses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11"/>
    <w:bookmarkEnd w:id="112"/>
    <w:bookmarkStart w:id="113" w:name="discussion-and-limitations"/>
    <w:p>
      <w:pPr>
        <w:pStyle w:val="Heading2"/>
        <w:spacing w:line="312" w:lineRule="auto" w:after="80"/>
        <w:ind w:firstLine="283"/>
        <w:jc w:val="both"/>
      </w:pPr>
      <w:r>
        <w:rPr>
          <w:rFonts w:ascii="Times New Roman" w:hAnsi="Times New Roman" w:eastAsia="Times New Roman" w:cs="Times New Roman"/>
          <w:color w:val="000000"/>
          <w:sz w:val="24"/>
        </w:rPr>
        <w:t xml:space="preserve">4.4 Discussion and limitations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Within this synthetic evaluation set, the fully heuristic mode recovers most of the blended mode’s aggregate discrimination: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Spearman ρ = 0.847, median latency 25.5 ms rather than 18.2 s, and zero LLM-side marginal cost. After removing the structural 0.40 heuristic share in the blended formula, LLM-only versus heuristic agreement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The deterministic baseline is therefore strong enough to justify deployment as a fallback and runtime mode, while the blended mode remains valuable for qualitative explanations and clarity-sensitive judgement.</w:t>
      </w:r>
    </w:p>
    <w:p>
      <w:pPr>
        <w:pStyle w:val="BodyText"/>
        <w:spacing w:line="312" w:lineRule="auto" w:after="80"/>
        <w:ind w:firstLine="283"/>
        <w:jc w:val="both"/>
      </w:pPr>
      <w:r>
        <w:rPr>
          <w:rFonts w:ascii="Times New Roman" w:hAnsi="Times New Roman" w:eastAsia="Times New Roman" w:cs="Times New Roman"/>
          <w:color w:val="000000"/>
          <w:sz w:val="24"/>
        </w:rPr>
        <w:t xml:space="preserve">Four limitations constrain the claim.</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 scope: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evaluation resumes and job descriptions are in English, although ESCO is multilingual.</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Single-subject evaluation: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author synthesised all 30 resumes, so stylistic regularities may not generalise.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uses Gemini 2.5 Flash only.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Bias and fairness: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benchmark has no demographic annotations and cannot support disparate-impact analysis; production deployment beyond thesis scope would require a fairness audit aligned with algorithmic-hiring literature [22, 23, 24].</w:t>
      </w:r>
    </w:p>
    <w:p>
      <w:pPr>
        <w:pStyle w:val="BodyText"/>
        <w:spacing w:line="312" w:lineRule="auto" w:after="80"/>
        <w:ind w:firstLine="283"/>
        <w:jc w:val="both"/>
      </w:pPr>
      <w:r>
        <w:rPr>
          <w:rFonts w:ascii="Times New Roman" w:hAnsi="Times New Roman" w:eastAsia="Times New Roman" w:cs="Times New Roman"/>
          <w:color w:val="000000"/>
          <w:sz w:val="24"/>
        </w:rP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spacing w:line="312" w:lineRule="auto" w:after="80"/>
        <w:ind w:firstLine="283"/>
        <w:jc w:val="both"/>
      </w:pPr>
      <w:r>
        <w:rPr>
          <w:rFonts w:ascii="Times New Roman" w:hAnsi="Times New Roman" w:eastAsia="Times New Roman" w:cs="Times New Roman"/>
          <w:color w:val="000000"/>
          <w:sz w:val="24"/>
        </w:rP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13"/>
    <w:bookmarkEnd w:id="114"/>
    <w:bookmarkStart w:id="125" w:name="bibliography"/>
    <w:p>
      <w:pPr>
        <w:pStyle w:val="Heading1"/>
        <w:spacing w:line="312" w:lineRule="auto" w:after="80"/>
        <w:ind w:firstLine="283"/>
        <w:jc w:val="both"/>
      </w:pPr>
      <w:r>
        <w:rPr>
          <w:rFonts w:ascii="Times New Roman" w:hAnsi="Times New Roman" w:eastAsia="Times New Roman" w:cs="Times New Roman"/>
          <w:color w:val="000000"/>
          <w:sz w:val="24"/>
        </w:rPr>
        <w:t xml:space="preserve">Bibliography</w:t>
      </w:r>
    </w:p>
    <w:bookmarkStart w:id="115" w:name="Xe524d447c5cf25a4d8e2fc35a266a2d3c4bfbe5"/>
    <w:p>
      <w:pPr>
        <w:pStyle w:val="Heading2"/>
        <w:spacing w:line="312" w:lineRule="auto" w:after="80"/>
        <w:ind w:firstLine="283"/>
        <w:jc w:val="both"/>
      </w:pPr>
      <w:r>
        <w:rPr>
          <w:rFonts w:ascii="Times New Roman" w:hAnsi="Times New Roman" w:eastAsia="Times New Roman" w:cs="Times New Roman"/>
          <w:color w:val="000000"/>
          <w:sz w:val="24"/>
        </w:rPr>
        <w:t xml:space="preserve">1. Foundational AI for organisational decision-making</w:t>
      </w:r>
    </w:p>
    <w:p>
      <w:pPr>
        <w:pStyle w:val="FirstParagraph"/>
        <w:spacing w:line="312" w:lineRule="auto" w:after="80"/>
        <w:jc w:val="both"/>
      </w:pPr>
      <w:r>
        <w:rPr>
          <w:rFonts w:ascii="Times New Roman" w:hAnsi="Times New Roman" w:eastAsia="Times New Roman" w:cs="Times New Roman"/>
          <w:color w:val="000000"/>
          <w:sz w:val="24"/>
        </w:rPr>
        <w:t xml:space="preserve">[1] M. Stone, E. Aravopoulou, Y. Ekinci, G. Evans, M. Hobbs, A. Labib, P. Laughlin, J. Machtynger, and L. Machtynger,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(AI) in strategic marketing decision-making: a research agenda,”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Bottom Line</w:t>
      </w:r>
      <w:r>
        <w:rPr>
          <w:rFonts w:ascii="Times New Roman" w:hAnsi="Times New Roman" w:eastAsia="Times New Roman" w:cs="Times New Roman"/>
          <w:color w:val="000000"/>
          <w:sz w:val="24"/>
        </w:rPr>
        <w:t xml:space="preserve">, vol. 33, no. 2, pp. 183–200, 2020. https://doi.org/10.1108/BL-03-2020-0022</w:t>
      </w:r>
    </w:p>
    <w:p>
      <w:pPr>
        <w:pStyle w:val="BodyText"/>
        <w:spacing w:line="312" w:lineRule="auto" w:after="80"/>
        <w:jc w:val="both"/>
      </w:pPr>
      <w:r>
        <w:rPr>
          <w:rFonts w:ascii="Times New Roman" w:hAnsi="Times New Roman" w:eastAsia="Times New Roman" w:cs="Times New Roman"/>
          <w:color w:val="000000"/>
          <w:sz w:val="24"/>
        </w:rPr>
        <w:t xml:space="preserve">[2] S. Gupta, S. Modgil, S. Bhattacharyya,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et 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for decision support systems in the field of operations research: review and future scope of research,”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Annals of Operations Research</w:t>
      </w:r>
      <w:r>
        <w:rPr>
          <w:rFonts w:ascii="Times New Roman" w:hAnsi="Times New Roman" w:eastAsia="Times New Roman" w:cs="Times New Roman"/>
          <w:color w:val="000000"/>
          <w:sz w:val="24"/>
        </w:rPr>
        <w:t xml:space="preserve">, vol. 308, pp. 215–274, 2022. https://doi.org/10.1007/s10479-020-03856-6</w:t>
      </w:r>
    </w:p>
    <w:p>
      <w:pPr>
        <w:pStyle w:val="BodyText"/>
        <w:spacing w:line="312" w:lineRule="auto" w:after="80"/>
        <w:jc w:val="both"/>
      </w:pPr>
      <w:r>
        <w:rPr>
          <w:rFonts w:ascii="Times New Roman" w:hAnsi="Times New Roman" w:eastAsia="Times New Roman" w:cs="Times New Roman"/>
          <w:color w:val="000000"/>
          <w:sz w:val="24"/>
        </w:rPr>
        <w:t xml:space="preserve">[3] A. M. Rahmani, B. Rezazadeh, M. Haghparast, W.-C. Chang, and S. G. Ting,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“Applications of artificial intelligence in the economy, including applications in stock trading, market analysis, and risk management,”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Access</w:t>
      </w:r>
      <w:r>
        <w:rPr>
          <w:rFonts w:ascii="Times New Roman" w:hAnsi="Times New Roman" w:eastAsia="Times New Roman" w:cs="Times New Roman"/>
          <w:color w:val="000000"/>
          <w:sz w:val="24"/>
        </w:rPr>
        <w:t xml:space="preserve">, vol. 11, pp. 80769–80793, 2023. https://doi.org/10.1109/ACCESS.2023.3300036</w:t>
      </w:r>
    </w:p>
    <w:p>
      <w:pPr>
        <w:pStyle w:val="BodyText"/>
        <w:spacing w:line="312" w:lineRule="auto" w:after="80"/>
        <w:jc w:val="both"/>
      </w:pPr>
      <w:r>
        <w:rPr>
          <w:rFonts w:ascii="Times New Roman" w:hAnsi="Times New Roman" w:eastAsia="Times New Roman" w:cs="Times New Roman"/>
          <w:color w:val="000000"/>
          <w:sz w:val="24"/>
        </w:rPr>
        <w:t xml:space="preserve">[4] Y. Kang, Z. Cai, C. W. Tan, Q. Huang, and H. Liu,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“Natural language processing (NLP) in management research: A literature review,”</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Management Analytics</w:t>
      </w:r>
      <w:r>
        <w:rPr>
          <w:rFonts w:ascii="Times New Roman" w:hAnsi="Times New Roman" w:eastAsia="Times New Roman" w:cs="Times New Roman"/>
          <w:color w:val="000000"/>
          <w:sz w:val="24"/>
        </w:rPr>
        <w:t xml:space="preserve">, vol. 7, no. 2, pp. 139–172, 2020. https://doi.org/10.1080/23270012.2020.1756939</w:t>
      </w:r>
    </w:p>
    <w:bookmarkEnd w:id="115"/>
    <w:bookmarkStart w:id="116" w:name="foundational-information-retrieval"/>
    <w:p>
      <w:pPr>
        <w:pStyle w:val="Heading2"/>
        <w:spacing w:line="312" w:lineRule="auto" w:after="80"/>
        <w:ind w:firstLine="283"/>
        <w:jc w:val="both"/>
      </w:pPr>
      <w:r>
        <w:rPr>
          <w:rFonts w:ascii="Times New Roman" w:hAnsi="Times New Roman" w:eastAsia="Times New Roman" w:cs="Times New Roman"/>
          <w:color w:val="000000"/>
          <w:sz w:val="24"/>
        </w:rPr>
        <w:t xml:space="preserve">2. Foundational information retrieval</w:t>
      </w:r>
    </w:p>
    <w:p>
      <w:pPr>
        <w:pStyle w:val="FirstParagraph"/>
        <w:spacing w:line="312" w:lineRule="auto" w:after="80"/>
        <w:jc w:val="both"/>
      </w:pPr>
      <w:r>
        <w:rPr>
          <w:rFonts w:ascii="Times New Roman" w:hAnsi="Times New Roman" w:eastAsia="Times New Roman" w:cs="Times New Roman"/>
          <w:color w:val="000000"/>
          <w:sz w:val="24"/>
        </w:rPr>
        <w:t xml:space="preserve">[5] G. Salton and M. J. McGill,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Introduction to modern information retrieval</w:t>
      </w:r>
      <w:r>
        <w:rPr>
          <w:rFonts w:ascii="Times New Roman" w:hAnsi="Times New Roman" w:eastAsia="Times New Roman" w:cs="Times New Roman"/>
          <w:color w:val="000000"/>
          <w:sz w:val="24"/>
        </w:rPr>
        <w:t xml:space="preserve">. New York: McGraw-Hill, 1983.</w:t>
      </w:r>
    </w:p>
    <w:p>
      <w:pPr>
        <w:pStyle w:val="BodyText"/>
        <w:spacing w:line="312" w:lineRule="auto" w:after="80"/>
        <w:jc w:val="both"/>
      </w:pPr>
      <w:r>
        <w:rPr>
          <w:rFonts w:ascii="Times New Roman" w:hAnsi="Times New Roman" w:eastAsia="Times New Roman" w:cs="Times New Roman"/>
          <w:color w:val="000000"/>
          <w:sz w:val="24"/>
        </w:rPr>
        <w:t xml:space="preserve">[6] S. Robertson and H. Zaragoza,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probabilistic relevance framework: BM25 and 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Foundations and Trends in Information Retrieval</w:t>
      </w:r>
      <w:r>
        <w:rPr>
          <w:rFonts w:ascii="Times New Roman" w:hAnsi="Times New Roman" w:eastAsia="Times New Roman" w:cs="Times New Roman"/>
          <w:color w:val="000000"/>
          <w:sz w:val="24"/>
        </w:rPr>
        <w:t xml:space="preserve">, vol. 3, no. 4, pp. 333–389, 2009. https://doi.org/10.1561/1500000019</w:t>
      </w:r>
    </w:p>
    <w:p>
      <w:pPr>
        <w:pStyle w:val="BodyText"/>
        <w:spacing w:line="312" w:lineRule="auto" w:after="80"/>
        <w:jc w:val="both"/>
      </w:pPr>
      <w:r>
        <w:rPr>
          <w:rFonts w:ascii="Times New Roman" w:hAnsi="Times New Roman" w:eastAsia="Times New Roman" w:cs="Times New Roman"/>
          <w:color w:val="000000"/>
          <w:sz w:val="24"/>
        </w:rPr>
        <w:t xml:space="preserve">[7] V. I. Levenshtein,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“Binary codes capable of correcting deletions, insertions, and reversals,”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Soviet Physics Doklady</w:t>
      </w:r>
      <w:r>
        <w:rPr>
          <w:rFonts w:ascii="Times New Roman" w:hAnsi="Times New Roman" w:eastAsia="Times New Roman" w:cs="Times New Roman"/>
          <w:color w:val="000000"/>
          <w:sz w:val="24"/>
        </w:rPr>
        <w:t xml:space="preserve">, vol. 10, no. 8, pp. 707–710, 1966.</w:t>
      </w:r>
    </w:p>
    <w:bookmarkEnd w:id="116"/>
    <w:bookmarkStart w:id="117" w:name="Xdd898e929631c1ac7dcaafa863450eac8c4687c"/>
    <w:p>
      <w:pPr>
        <w:pStyle w:val="Heading2"/>
        <w:spacing w:line="312" w:lineRule="auto" w:after="80"/>
        <w:ind w:firstLine="283"/>
        <w:jc w:val="both"/>
      </w:pPr>
      <w:r>
        <w:rPr>
          <w:rFonts w:ascii="Times New Roman" w:hAnsi="Times New Roman" w:eastAsia="Times New Roman" w:cs="Times New Roman"/>
          <w:color w:val="000000"/>
          <w:sz w:val="24"/>
        </w:rPr>
        <w:t xml:space="preserve">3. Skill extraction and labour-market taxonomies (ESCO, O*NET)</w:t>
      </w:r>
    </w:p>
    <w:p>
      <w:pPr>
        <w:pStyle w:val="FirstParagraph"/>
        <w:spacing w:line="312" w:lineRule="auto" w:after="80"/>
        <w:jc w:val="both"/>
      </w:pPr>
      <w:r>
        <w:rPr>
          <w:rFonts w:ascii="Times New Roman" w:hAnsi="Times New Roman" w:eastAsia="Times New Roman" w:cs="Times New Roman"/>
          <w:color w:val="000000"/>
          <w:sz w:val="24"/>
        </w:rPr>
        <w:t xml:space="preserve">[8] M. le Vrang, A. Papantoniou, E. Pauwels, P. Fannes, D. Vandensteen, and J. De Smedt,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Boosting job matching in Europe with semantic interoperability,”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Computer</w:t>
      </w:r>
      <w:r>
        <w:rPr>
          <w:rFonts w:ascii="Times New Roman" w:hAnsi="Times New Roman" w:eastAsia="Times New Roman" w:cs="Times New Roman"/>
          <w:color w:val="000000"/>
          <w:sz w:val="24"/>
        </w:rPr>
        <w:t xml:space="preserve">, vol. 47, no. 10, pp. 57–64, 2014. https://doi.org/10.1109/MC.2014.283</w:t>
      </w:r>
    </w:p>
    <w:p>
      <w:pPr>
        <w:pStyle w:val="BodyText"/>
        <w:spacing w:line="312" w:lineRule="auto" w:after="80"/>
        <w:jc w:val="both"/>
      </w:pPr>
      <w:r>
        <w:rPr>
          <w:rFonts w:ascii="Times New Roman" w:hAnsi="Times New Roman" w:eastAsia="Times New Roman" w:cs="Times New Roman"/>
          <w:color w:val="000000"/>
          <w:sz w:val="24"/>
        </w:rPr>
        <w:t xml:space="preserve">[9] D. C. Kavargyris, K. Georgiou, E. Papaioannou, K. Petrakis, N. Mittas, and L. Angelis,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“ESCOX: A tool for skill and occupation extraction using LLMs from unstructured text,”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Software Impacts</w:t>
      </w:r>
      <w:r>
        <w:rPr>
          <w:rFonts w:ascii="Times New Roman" w:hAnsi="Times New Roman" w:eastAsia="Times New Roman" w:cs="Times New Roman"/>
          <w:color w:val="000000"/>
          <w:sz w:val="24"/>
        </w:rPr>
        <w:t xml:space="preserve">, vol. 25, art. 100772, 2025. https://doi.org/10.1016/j.simpa.2025.100772</w:t>
      </w:r>
    </w:p>
    <w:p>
      <w:pPr>
        <w:pStyle w:val="BodyText"/>
        <w:spacing w:line="312" w:lineRule="auto" w:after="80"/>
        <w:jc w:val="both"/>
      </w:pPr>
      <w:r>
        <w:rPr>
          <w:rFonts w:ascii="Times New Roman" w:hAnsi="Times New Roman" w:eastAsia="Times New Roman" w:cs="Times New Roman"/>
          <w:color w:val="000000"/>
          <w:sz w:val="24"/>
        </w:rPr>
        <w:t xml:space="preserve">[10] A. Herandi, Y. Li, Z. Liu, X. Hu, and X. Cai,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“Skill-LLM: Repurposing general-purpose LLMs for 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arXiv:2410.12052</w:t>
      </w:r>
      <w:r>
        <w:rPr>
          <w:rFonts w:ascii="Times New Roman" w:hAnsi="Times New Roman" w:eastAsia="Times New Roman" w:cs="Times New Roman"/>
          <w:color w:val="000000"/>
          <w:sz w:val="24"/>
        </w:rPr>
        <w:t xml:space="preserve">, 2024. https://arxiv.org/abs/2410.12052</w:t>
      </w:r>
    </w:p>
    <w:p>
      <w:pPr>
        <w:pStyle w:val="BodyText"/>
        <w:spacing w:line="312" w:lineRule="auto" w:after="80"/>
        <w:jc w:val="both"/>
      </w:pPr>
      <w:r>
        <w:rPr>
          <w:rFonts w:ascii="Times New Roman" w:hAnsi="Times New Roman" w:eastAsia="Times New Roman" w:cs="Times New Roman"/>
          <w:color w:val="000000"/>
          <w:sz w:val="24"/>
        </w:rPr>
        <w:t xml:space="preserve">[11] S. Saroglou, K. Diamantaras, F. Preta, M. Delianidi, A. Benisis, and C. J. Meyer,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“Enhancing job matching: Occupation, skill and qualification linking with the ESCO and EQF taxonomies,”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arXiv:2512.03195</w:t>
      </w:r>
      <w:r>
        <w:rPr>
          <w:rFonts w:ascii="Times New Roman" w:hAnsi="Times New Roman" w:eastAsia="Times New Roman" w:cs="Times New Roman"/>
          <w:color w:val="000000"/>
          <w:sz w:val="24"/>
        </w:rPr>
        <w:t xml:space="preserve">, 2025. https://arxiv.org/abs/2512.03195</w:t>
      </w:r>
    </w:p>
    <w:p>
      <w:pPr>
        <w:pStyle w:val="BodyText"/>
        <w:spacing w:line="312" w:lineRule="auto" w:after="80"/>
        <w:jc w:val="both"/>
      </w:pPr>
      <w:r>
        <w:rPr>
          <w:rFonts w:ascii="Times New Roman" w:hAnsi="Times New Roman" w:eastAsia="Times New Roman" w:cs="Times New Roman"/>
          <w:color w:val="000000"/>
          <w:sz w:val="24"/>
        </w:rPr>
        <w:t xml:space="preserve">[12] C. Panzaru and A. Grama,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explicit soft skills labelling in ESCO through semantic NLP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for Labour Market Research</w:t>
      </w:r>
      <w:r>
        <w:rPr>
          <w:rFonts w:ascii="Times New Roman" w:hAnsi="Times New Roman" w:eastAsia="Times New Roman" w:cs="Times New Roman"/>
          <w:color w:val="000000"/>
          <w:sz w:val="24"/>
        </w:rPr>
        <w:t xml:space="preserve">, vol. 59, no. 1, art. 18, 2025. https://doi.org/10.1186/s12651-025-00409-x</w:t>
      </w:r>
    </w:p>
    <w:p>
      <w:pPr>
        <w:pStyle w:val="BodyText"/>
        <w:spacing w:line="312" w:lineRule="auto" w:after="80"/>
        <w:jc w:val="both"/>
      </w:pPr>
      <w:r>
        <w:rPr>
          <w:rFonts w:ascii="Times New Roman" w:hAnsi="Times New Roman" w:eastAsia="Times New Roman" w:cs="Times New Roman"/>
          <w:color w:val="000000"/>
          <w:sz w:val="24"/>
        </w:rPr>
        <w:t xml:space="preserve">[13] M. de Groot, J. Schutte, and D. Graus,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“Job posting-enriched knowledge graph for skills-based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arXiv:2109.02554</w:t>
      </w:r>
      <w:r>
        <w:rPr>
          <w:rFonts w:ascii="Times New Roman" w:hAnsi="Times New Roman" w:eastAsia="Times New Roman" w:cs="Times New Roman"/>
          <w:color w:val="000000"/>
          <w:sz w:val="24"/>
        </w:rPr>
        <w:t xml:space="preserve">, 2021. https://arxiv.org/abs/2109.02554</w:t>
      </w:r>
    </w:p>
    <w:bookmarkEnd w:id="117"/>
    <w:bookmarkStart w:id="118" w:name="X1796bfef32d736987f1174fc0e433d96cea39d8"/>
    <w:p>
      <w:pPr>
        <w:pStyle w:val="Heading2"/>
        <w:spacing w:line="312" w:lineRule="auto" w:after="80"/>
        <w:ind w:firstLine="283"/>
        <w:jc w:val="both"/>
      </w:pPr>
      <w:r>
        <w:rPr>
          <w:rFonts w:ascii="Times New Roman" w:hAnsi="Times New Roman" w:eastAsia="Times New Roman" w:cs="Times New Roman"/>
          <w:color w:val="000000"/>
          <w:sz w:val="24"/>
        </w:rPr>
        <w:t xml:space="preserve">4. Resume parsing and information extraction</w:t>
      </w:r>
    </w:p>
    <w:p>
      <w:pPr>
        <w:pStyle w:val="FirstParagraph"/>
        <w:spacing w:line="312" w:lineRule="auto" w:after="80"/>
        <w:jc w:val="both"/>
      </w:pPr>
      <w:r>
        <w:rPr>
          <w:rFonts w:ascii="Times New Roman" w:hAnsi="Times New Roman" w:eastAsia="Times New Roman" w:cs="Times New Roman"/>
          <w:color w:val="000000"/>
          <w:sz w:val="24"/>
        </w:rPr>
        <w:t xml:space="preserve">[14] K. Yu, G. Guan, and M. Zhou,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information extraction with cascaded hybrid 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43rd Annual Meeting of the Association for Computational Linguistics (ACL ’05)</w:t>
      </w:r>
      <w:r>
        <w:rPr>
          <w:rFonts w:ascii="Times New Roman" w:hAnsi="Times New Roman" w:eastAsia="Times New Roman" w:cs="Times New Roman"/>
          <w:color w:val="000000"/>
          <w:sz w:val="24"/>
        </w:rPr>
        <w:t xml:space="preserve">, 2005, pp. 499–506. https://aclanthology.org/P05-1062/</w:t>
      </w:r>
    </w:p>
    <w:bookmarkEnd w:id="118"/>
    <w:bookmarkStart w:id="119" w:name="ai-based-career-recommendation-systems"/>
    <w:p>
      <w:pPr>
        <w:pStyle w:val="Heading2"/>
        <w:spacing w:line="312" w:lineRule="auto" w:after="80"/>
        <w:ind w:firstLine="283"/>
        <w:jc w:val="both"/>
      </w:pPr>
      <w:r>
        <w:rPr>
          <w:rFonts w:ascii="Times New Roman" w:hAnsi="Times New Roman" w:eastAsia="Times New Roman" w:cs="Times New Roman"/>
          <w:color w:val="000000"/>
          <w:sz w:val="24"/>
        </w:rPr>
        <w:t xml:space="preserve">5. AI-based career recommendation systems</w:t>
      </w:r>
    </w:p>
    <w:p>
      <w:pPr>
        <w:pStyle w:val="FirstParagraph"/>
        <w:spacing w:line="312" w:lineRule="auto" w:after="80"/>
        <w:jc w:val="both"/>
      </w:pPr>
      <w:r>
        <w:rPr>
          <w:rFonts w:ascii="Times New Roman" w:hAnsi="Times New Roman" w:eastAsia="Times New Roman" w:cs="Times New Roman"/>
          <w:color w:val="000000"/>
          <w:sz w:val="24"/>
        </w:rPr>
        <w:t xml:space="preserve">[15] H. Al-Dossari, F. A. Nughaymish, Z. Al-Qahtani, M. Alkahlifah, and A. Alqahtani,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“CareerRec: A machine learning approach to career path choice for information technology graduates,”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Engineering, Technology &amp; Applied Science Research</w:t>
      </w:r>
      <w:r>
        <w:rPr>
          <w:rFonts w:ascii="Times New Roman" w:hAnsi="Times New Roman" w:eastAsia="Times New Roman" w:cs="Times New Roman"/>
          <w:color w:val="000000"/>
          <w:sz w:val="24"/>
        </w:rPr>
        <w:t xml:space="preserve">, vol. 10, no. 6, pp. 6589–6596, 2020. https://doi.org/10.48084/etasr.3821</w:t>
      </w:r>
    </w:p>
    <w:bookmarkEnd w:id="119"/>
    <w:bookmarkStart w:id="120" w:name="large-language-models-in-recruitment"/>
    <w:p>
      <w:pPr>
        <w:pStyle w:val="Heading2"/>
        <w:spacing w:line="312" w:lineRule="auto" w:after="80"/>
        <w:ind w:firstLine="283"/>
        <w:jc w:val="both"/>
      </w:pPr>
      <w:r>
        <w:rPr>
          <w:rFonts w:ascii="Times New Roman" w:hAnsi="Times New Roman" w:eastAsia="Times New Roman" w:cs="Times New Roman"/>
          <w:color w:val="000000"/>
          <w:sz w:val="24"/>
        </w:rPr>
        <w:t xml:space="preserve">6. Large language models in recruitment</w:t>
      </w:r>
    </w:p>
    <w:p>
      <w:pPr>
        <w:pStyle w:val="FirstParagraph"/>
        <w:spacing w:line="312" w:lineRule="auto" w:after="80"/>
        <w:jc w:val="both"/>
      </w:pPr>
      <w:r>
        <w:rPr>
          <w:rFonts w:ascii="Times New Roman" w:hAnsi="Times New Roman" w:eastAsia="Times New Roman" w:cs="Times New Roman"/>
          <w:color w:val="000000"/>
          <w:sz w:val="24"/>
        </w:rPr>
        <w:t xml:space="preserve">[16] C. Gan, Q. Zhang, and T. Mori,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 of LLM agents in recruitment: A novel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arXiv:2401.08315</w:t>
      </w:r>
      <w:r>
        <w:rPr>
          <w:rFonts w:ascii="Times New Roman" w:hAnsi="Times New Roman" w:eastAsia="Times New Roman" w:cs="Times New Roman"/>
          <w:color w:val="000000"/>
          <w:sz w:val="24"/>
        </w:rPr>
        <w:t xml:space="preserve">, 2024. https://arxiv.org/abs/2401.08315</w:t>
      </w:r>
    </w:p>
    <w:p>
      <w:pPr>
        <w:pStyle w:val="BodyText"/>
        <w:spacing w:line="312" w:lineRule="auto" w:after="80"/>
        <w:jc w:val="both"/>
      </w:pPr>
      <w:r>
        <w:rPr>
          <w:rFonts w:ascii="Times New Roman" w:hAnsi="Times New Roman" w:eastAsia="Times New Roman" w:cs="Times New Roman"/>
          <w:color w:val="000000"/>
          <w:sz w:val="24"/>
        </w:rPr>
        <w:t xml:space="preserve">[17] F. P.-W. Lo, J. Qiu, Z. Wang, H. Yu, Y. Chen, G. Zhang, and B. Lo,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 hiring with LLMs: A context-aware and explainable multi-agent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 IEEE/CVF Conf. on Computer Vision and Pattern Recognition Workshops (CVPRW)</w:t>
      </w:r>
      <w:r>
        <w:rPr>
          <w:rFonts w:ascii="Times New Roman" w:hAnsi="Times New Roman" w:eastAsia="Times New Roman" w:cs="Times New Roman"/>
          <w:color w:val="000000"/>
          <w:sz w:val="24"/>
        </w:rPr>
        <w:t xml:space="preserve">, 2025, pp. 4184–4193. https://doi.org/10.1109/CVPRW67362.2025.00402</w:t>
      </w:r>
    </w:p>
    <w:p>
      <w:pPr>
        <w:pStyle w:val="BodyText"/>
        <w:spacing w:line="312" w:lineRule="auto" w:after="80"/>
        <w:jc w:val="both"/>
      </w:pPr>
      <w:r>
        <w:rPr>
          <w:rFonts w:ascii="Times New Roman" w:hAnsi="Times New Roman" w:eastAsia="Times New Roman" w:cs="Times New Roman"/>
          <w:color w:val="000000"/>
          <w:sz w:val="24"/>
        </w:rPr>
        <w:t xml:space="preserve">[18] R. V. K. Bevara, N. R. Mannuru, S. P. Karedla, B. D. Lund, T. Xiao, H. Pasem, S. C. Dronavalli, and S. Rupeshkumar,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“Resume2Vec: Transforming applicant tracking systems with intelligent resume embeddings for precise candidate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Electronics</w:t>
      </w:r>
      <w:r>
        <w:rPr>
          <w:rFonts w:ascii="Times New Roman" w:hAnsi="Times New Roman" w:eastAsia="Times New Roman" w:cs="Times New Roman"/>
          <w:color w:val="000000"/>
          <w:sz w:val="24"/>
        </w:rPr>
        <w:t xml:space="preserve">, vol. 14, no. 4, art. 794, 2025. https://doi.org/10.3390/electronics14040794</w:t>
      </w:r>
    </w:p>
    <w:p>
      <w:pPr>
        <w:pStyle w:val="BodyText"/>
        <w:spacing w:line="312" w:lineRule="auto" w:after="80"/>
        <w:jc w:val="both"/>
      </w:pPr>
      <w:r>
        <w:rPr>
          <w:rFonts w:ascii="Times New Roman" w:hAnsi="Times New Roman" w:eastAsia="Times New Roman" w:cs="Times New Roman"/>
          <w:color w:val="000000"/>
          <w:sz w:val="24"/>
        </w:rPr>
        <w:t xml:space="preserve">[19] A. Jagadeesh, C. R. Shankar, S. N. Patel, M. Levantesi, G. Semeraro, and E. W. De Luca,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“AI-driven resume analysis and enhancement using semantic modeling and large language feedback loops,”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CLiC-it 2025</w:t>
      </w:r>
      <w:r>
        <w:rPr>
          <w:rFonts w:ascii="Times New Roman" w:hAnsi="Times New Roman" w:eastAsia="Times New Roman" w:cs="Times New Roman"/>
          <w:color w:val="000000"/>
          <w:sz w:val="24"/>
        </w:rPr>
        <w:t xml:space="preserve">, 2025. https://aclanthology.org/2025.clicit-1.51/</w:t>
      </w:r>
    </w:p>
    <w:bookmarkEnd w:id="120"/>
    <w:bookmarkStart w:id="121" w:name="Xe3796102e15fa10b5c24e38851c753906160937"/>
    <w:p>
      <w:pPr>
        <w:pStyle w:val="Heading2"/>
        <w:spacing w:line="312" w:lineRule="auto" w:after="80"/>
        <w:ind w:firstLine="283"/>
        <w:jc w:val="both"/>
      </w:pPr>
      <w:r>
        <w:rPr>
          <w:rFonts w:ascii="Times New Roman" w:hAnsi="Times New Roman" w:eastAsia="Times New Roman" w:cs="Times New Roman"/>
          <w:color w:val="000000"/>
          <w:sz w:val="24"/>
        </w:rPr>
        <w:t xml:space="preserve">7. Semantic matching and sentence embeddings</w:t>
      </w:r>
    </w:p>
    <w:p>
      <w:pPr>
        <w:pStyle w:val="FirstParagraph"/>
        <w:spacing w:line="312" w:lineRule="auto" w:after="80"/>
        <w:jc w:val="both"/>
      </w:pPr>
      <w:r>
        <w:rPr>
          <w:rFonts w:ascii="Times New Roman" w:hAnsi="Times New Roman" w:eastAsia="Times New Roman" w:cs="Times New Roman"/>
          <w:color w:val="000000"/>
          <w:sz w:val="24"/>
        </w:rPr>
        <w:t xml:space="preserve">[20] N. Reimers and I. Gurevych,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“Sentence-BERT: Sentence embeddings using Siamese BERT-networks,”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EMNLP-IJCNLP 2019</w:t>
      </w:r>
      <w:r>
        <w:rPr>
          <w:rFonts w:ascii="Times New Roman" w:hAnsi="Times New Roman" w:eastAsia="Times New Roman" w:cs="Times New Roman"/>
          <w:color w:val="000000"/>
          <w:sz w:val="24"/>
        </w:rPr>
        <w:t xml:space="preserve">, Hong Kong, 2019. https://arxiv.org/abs/1908.10084</w:t>
      </w:r>
    </w:p>
    <w:p>
      <w:pPr>
        <w:pStyle w:val="BodyText"/>
        <w:spacing w:line="312" w:lineRule="auto" w:after="80"/>
        <w:jc w:val="both"/>
      </w:pPr>
      <w:r>
        <w:rPr>
          <w:rFonts w:ascii="Times New Roman" w:hAnsi="Times New Roman" w:eastAsia="Times New Roman" w:cs="Times New Roman"/>
          <w:color w:val="000000"/>
          <w:sz w:val="24"/>
        </w:rPr>
        <w:t xml:space="preserve">[21] V. Zadykian, B. Andrade, and H. Afli,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explainable job title matching: Leveraging semantic textual relatedness and knowledge graphs,”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arXiv:2509.09522</w:t>
      </w:r>
      <w:r>
        <w:rPr>
          <w:rFonts w:ascii="Times New Roman" w:hAnsi="Times New Roman" w:eastAsia="Times New Roman" w:cs="Times New Roman"/>
          <w:color w:val="000000"/>
          <w:sz w:val="24"/>
        </w:rPr>
        <w:t xml:space="preserve">, 2025. https://arxiv.org/abs/2509.09522</w:t>
      </w:r>
    </w:p>
    <w:bookmarkEnd w:id="121"/>
    <w:bookmarkStart w:id="122" w:name="bias-and-fairness-in-algorithmic-hiring"/>
    <w:p>
      <w:pPr>
        <w:pStyle w:val="Heading2"/>
        <w:spacing w:line="312" w:lineRule="auto" w:after="80"/>
        <w:ind w:firstLine="283"/>
        <w:jc w:val="both"/>
      </w:pPr>
      <w:r>
        <w:rPr>
          <w:rFonts w:ascii="Times New Roman" w:hAnsi="Times New Roman" w:eastAsia="Times New Roman" w:cs="Times New Roman"/>
          <w:color w:val="000000"/>
          <w:sz w:val="24"/>
        </w:rPr>
        <w:t xml:space="preserve">8. Bias and fairness in algorithmic hiring</w:t>
      </w:r>
    </w:p>
    <w:p>
      <w:pPr>
        <w:pStyle w:val="FirstParagraph"/>
        <w:spacing w:line="312" w:lineRule="auto" w:after="80"/>
        <w:jc w:val="both"/>
      </w:pPr>
      <w:r>
        <w:rPr>
          <w:rFonts w:ascii="Times New Roman" w:hAnsi="Times New Roman" w:eastAsia="Times New Roman" w:cs="Times New Roman"/>
          <w:color w:val="000000"/>
          <w:sz w:val="24"/>
        </w:rPr>
        <w:t xml:space="preserve">[22] A. Köchling and M. C. Wehner,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“Discriminated by an algorithm: A systematic review of discrimination and fairness by algorithmic decision-making in the context of HR recruitment and HR development,”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Business Research</w:t>
      </w:r>
      <w:r>
        <w:rPr>
          <w:rFonts w:ascii="Times New Roman" w:hAnsi="Times New Roman" w:eastAsia="Times New Roman" w:cs="Times New Roman"/>
          <w:color w:val="000000"/>
          <w:sz w:val="24"/>
        </w:rPr>
        <w:t xml:space="preserve">, vol. 13, no. 3, pp. 795–848, 2020. https://doi.org/10.1007/s40685-020-00134-w</w:t>
      </w:r>
    </w:p>
    <w:p>
      <w:pPr>
        <w:pStyle w:val="BodyText"/>
        <w:spacing w:line="312" w:lineRule="auto" w:after="80"/>
        <w:jc w:val="both"/>
      </w:pPr>
      <w:r>
        <w:rPr>
          <w:rFonts w:ascii="Times New Roman" w:hAnsi="Times New Roman" w:eastAsia="Times New Roman" w:cs="Times New Roman"/>
          <w:color w:val="000000"/>
          <w:sz w:val="24"/>
        </w:rPr>
        <w:t xml:space="preserve">[23] M. Raghavan, S. Barocas, J. Kleinberg, and K. Levy,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“Mitigating bias in algorithmic hiring: Evaluating claims and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2020 Conference on Fairness, Accountability, and Transparency (FAccT ’20)</w:t>
      </w:r>
      <w:r>
        <w:rPr>
          <w:rFonts w:ascii="Times New Roman" w:hAnsi="Times New Roman" w:eastAsia="Times New Roman" w:cs="Times New Roman"/>
          <w:color w:val="000000"/>
          <w:sz w:val="24"/>
        </w:rPr>
        <w:t xml:space="preserve">, 2020, pp. 469–481. https://doi.org/10.1145/3351095.3372828</w:t>
      </w:r>
    </w:p>
    <w:p>
      <w:pPr>
        <w:pStyle w:val="BodyText"/>
        <w:spacing w:line="312" w:lineRule="auto" w:after="80"/>
        <w:jc w:val="both"/>
      </w:pPr>
      <w:r>
        <w:rPr>
          <w:rFonts w:ascii="Times New Roman" w:hAnsi="Times New Roman" w:eastAsia="Times New Roman" w:cs="Times New Roman"/>
          <w:color w:val="000000"/>
          <w:sz w:val="24"/>
        </w:rPr>
        <w:t xml:space="preserve">[24] Z. Chen,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“Ethics and discrimination in artificial intelligence-enabled recruitment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Humanities and Social Sciences Communications</w:t>
      </w:r>
      <w:r>
        <w:rPr>
          <w:rFonts w:ascii="Times New Roman" w:hAnsi="Times New Roman" w:eastAsia="Times New Roman" w:cs="Times New Roman"/>
          <w:color w:val="000000"/>
          <w:sz w:val="24"/>
        </w:rPr>
        <w:t xml:space="preserve">, vol. 10, art. 567, 2023. https://doi.org/10.1057/s41599-023-02079-x</w:t>
      </w:r>
    </w:p>
    <w:bookmarkEnd w:id="122"/>
    <w:bookmarkStart w:id="123" w:name="retrieval-augmented-generation"/>
    <w:p>
      <w:pPr>
        <w:pStyle w:val="Heading2"/>
        <w:spacing w:line="312" w:lineRule="auto" w:after="80"/>
        <w:ind w:firstLine="283"/>
        <w:jc w:val="both"/>
      </w:pPr>
      <w:r>
        <w:rPr>
          <w:rFonts w:ascii="Times New Roman" w:hAnsi="Times New Roman" w:eastAsia="Times New Roman" w:cs="Times New Roman"/>
          <w:color w:val="000000"/>
          <w:sz w:val="24"/>
        </w:rPr>
        <w:t xml:space="preserve">9. Retrieval-augmented generation</w:t>
      </w:r>
    </w:p>
    <w:p>
      <w:pPr>
        <w:pStyle w:val="FirstParagraph"/>
        <w:spacing w:line="312" w:lineRule="auto" w:after="80"/>
        <w:jc w:val="both"/>
      </w:pPr>
      <w:r>
        <w:rPr>
          <w:rFonts w:ascii="Times New Roman" w:hAnsi="Times New Roman" w:eastAsia="Times New Roman" w:cs="Times New Roman"/>
          <w:color w:val="000000"/>
          <w:sz w:val="24"/>
        </w:rPr>
        <w:t xml:space="preserve">[25] Y. Gao, Y. Xiong, X. Gao, K. Jia, J. Pan, Y. Bi, Y. Dai, J. Sun, and H. Wang,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“Retrieval-augmented generation for large language models: A survey,”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arXiv:2312.10997</w:t>
      </w:r>
      <w:r>
        <w:rPr>
          <w:rFonts w:ascii="Times New Roman" w:hAnsi="Times New Roman" w:eastAsia="Times New Roman" w:cs="Times New Roman"/>
          <w:color w:val="000000"/>
          <w:sz w:val="24"/>
        </w:rPr>
        <w:t xml:space="preserve">, 2023. https://arxiv.org/abs/2312.10997</w:t>
      </w:r>
    </w:p>
    <w:bookmarkEnd w:id="123"/>
    <w:bookmarkStart w:id="124" w:name="web-frameworks-and-system-tooling"/>
    <w:p>
      <w:pPr>
        <w:pStyle w:val="Heading2"/>
        <w:spacing w:line="312" w:lineRule="auto" w:after="80"/>
        <w:ind w:firstLine="283"/>
        <w:jc w:val="both"/>
      </w:pPr>
      <w:r>
        <w:rPr>
          <w:rFonts w:ascii="Times New Roman" w:hAnsi="Times New Roman" w:eastAsia="Times New Roman" w:cs="Times New Roman"/>
          <w:color w:val="000000"/>
          <w:sz w:val="24"/>
        </w:rPr>
        <w:t xml:space="preserve">10. Web frameworks and system tooling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Documentation references for the engineering chapters; kept separate from the numbered academic bibliography because they document implementation APIs rather than research claims.</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FastAPI documentation. https://fastapi.tiangolo.com</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TanStack Start / Router documentation. https://tanstack.com/router</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React 19 documentation. https://react.dev</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Vite documentation. https://vite.dev</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SQLAlchemy 2.0 documentation. https://www.sqlalchemy.org</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Alembic migration documentation. https://alembic.sqlalchemy.org</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PostgreSQL documentation. https://www.postgresql.org/docs/</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Google Cloud Vertex AI Gemini documentation. https://cloud.google.com/vertex-ai/generative-ai/docs</w:t>
      </w:r>
    </w:p>
    <w:p>
      <w:pPr>
        <w:pStyle w:val="Compact"/>
        <w:numPr>
          <w:ilvl w:val="0"/>
          <w:numId w:val="1008"/>
        </w:numPr>
        <w:spacing w:line="312" w:lineRule="auto" w:after="80"/>
        <w:ind w:firstLine="283"/>
        <w:jc w:val="both"/>
      </w:pPr>
      <w:r>
        <w:rPr>
          <w:rFonts w:ascii="Times New Roman" w:hAnsi="Times New Roman" w:eastAsia="Times New Roman" w:cs="Times New Roman"/>
          <w:color w:val="000000"/>
          <w:sz w:val="24"/>
        </w:rPr>
        <w:t xml:space="preserve">Resend transactional email API. https://resend.com/docs</w:t>
      </w:r>
    </w:p>
    <w:bookmarkEnd w:id="124"/>
    <w:bookmarkEnd w:id="125"/>
    <w:bookmarkStart w:id="157" w:name="appendices"/>
    <w:p>
      <w:pPr>
        <w:pStyle w:val="Heading1"/>
        <w:spacing w:line="312" w:lineRule="auto" w:after="80"/>
        <w:ind w:firstLine="283"/>
        <w:jc w:val="both"/>
      </w:pPr>
      <w:r>
        <w:rPr>
          <w:rFonts w:ascii="Times New Roman" w:hAnsi="Times New Roman" w:eastAsia="Times New Roman" w:cs="Times New Roman"/>
          <w:color w:val="000000"/>
          <w:sz w:val="24"/>
        </w:rPr>
        <w:t xml:space="preserve">Appendices</w:t>
      </w:r>
    </w:p>
    <w:bookmarkStart w:id="130" w:name="appendix-a-source-listings"/>
    <w:p>
      <w:pPr>
        <w:pStyle w:val="Heading2"/>
        <w:spacing w:line="312" w:lineRule="auto" w:after="80"/>
        <w:ind w:firstLine="283"/>
        <w:jc w:val="both"/>
      </w:pPr>
      <w:r>
        <w:rPr>
          <w:rFonts w:ascii="Times New Roman" w:hAnsi="Times New Roman" w:eastAsia="Times New Roman" w:cs="Times New Roman"/>
          <w:color w:val="000000"/>
          <w:sz w:val="24"/>
        </w:rPr>
        <w:t xml:space="preserve">Appendix A — Source listings</w:t>
      </w:r>
    </w:p>
    <w:p>
      <w:pPr>
        <w:pStyle w:val="BlockText"/>
        <w:spacing w:line="312" w:lineRule="auto" w:after="80"/>
        <w:ind w:firstLine="283"/>
        <w:jc w:val="both"/>
      </w:pPr>
      <w:r>
        <w:rPr>
          <w:rFonts w:ascii="Times New Roman" w:hAnsi="Times New Roman" w:eastAsia="Times New Roman" w:cs="Times New Roman"/>
          <w:color w:val="000000"/>
          <w:sz w:val="24"/>
        </w:rP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26" w:name="X815009366af60fa4723a257df1c3cfaaf97a2fb"/>
    <w:p>
      <w:pPr>
        <w:pStyle w:val="Heading3"/>
        <w:spacing w:line="312" w:lineRule="auto" w:after="80"/>
        <w:ind w:firstLine="283"/>
        <w:jc w:val="both"/>
      </w:pPr>
      <w:r>
        <w:rPr>
          <w:rFonts w:ascii="Times New Roman" w:hAnsi="Times New Roman" w:eastAsia="Times New Roman" w:cs="Times New Roman"/>
          <w:color w:val="000000"/>
          <w:sz w:val="24"/>
        </w:rPr>
        <w:t xml:space="preserve">A.1 Strong heuristic v2 — public entry point</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spacing w:line="312" w:lineRule="auto" w:after="80"/>
        <w:ind w:firstLine="283"/>
        <w:jc w:val="both"/>
      </w:pP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build_resume_prepass_v2(</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resume_text: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job_description: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target_role_label: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ResumePrepassV2:</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text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resume_text </w:t>
      </w:r>
      <w:r>
        <w:rPr>
          <w:rStyle w:val="KeywordTok"/>
          <w:rFonts w:ascii="Times New Roman" w:hAnsi="Times New Roman" w:eastAsia="Times New Roman" w:cs="Times New Roman"/>
          <w:color w:val="000000"/>
          <w:sz w:val="24"/>
        </w:rPr>
        <w:t xml:space="preserve">or</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sections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_detect_sections(text)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bullets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[m.group(</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for</w:t>
      </w:r>
      <w:r>
        <w:rPr>
          <w:rStyle w:val="NormalTok"/>
          <w:rFonts w:ascii="Times New Roman" w:hAnsi="Times New Roman" w:eastAsia="Times New Roman" w:cs="Times New Roman"/>
          <w:color w:val="000000"/>
          <w:sz w:val="24"/>
        </w:rPr>
        <w:t xml:space="preserve"> m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_BULLET_RE.finditer(text)]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tokens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_tokenize(text)</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resume_skills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_normalise_skills(text)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matched: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missing: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matched_locations: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tuple</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fuzzy_count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 (full body in the source file; see Section 4.2 of the thesis for the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accompanying methodological description)</w:t>
      </w:r>
    </w:p>
    <w:bookmarkEnd w:id="126"/>
    <w:bookmarkStart w:id="127" w:name="a.2-bm25-scoring"/>
    <w:p>
      <w:pPr>
        <w:pStyle w:val="Heading3"/>
        <w:spacing w:line="312" w:lineRule="auto" w:after="80"/>
        <w:ind w:firstLine="283"/>
        <w:jc w:val="both"/>
      </w:pPr>
      <w:r>
        <w:rPr>
          <w:rFonts w:ascii="Times New Roman" w:hAnsi="Times New Roman" w:eastAsia="Times New Roman" w:cs="Times New Roman"/>
          <w:color w:val="000000"/>
          <w:sz w:val="24"/>
        </w:rPr>
        <w:t xml:space="preserve">A.2 BM25 scoring</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spacing w:line="312" w:lineRule="auto" w:after="80"/>
        <w:ind w:firstLine="283"/>
        <w:jc w:val="both"/>
      </w:pP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_bm25_score(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resume_tf: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int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query_terms: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idf: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avg_dl: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350.0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k1: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1.5</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b: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0.75</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"""Standard BM25 score of a query against a single document's term-frequencies."""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not</w:t>
      </w:r>
      <w:r>
        <w:rPr>
          <w:rStyle w:val="NormalTok"/>
          <w:rFonts w:ascii="Times New Roman" w:hAnsi="Times New Roman" w:eastAsia="Times New Roman" w:cs="Times New Roman"/>
          <w:color w:val="000000"/>
          <w:sz w:val="24"/>
        </w:rPr>
        <w:t xml:space="preserve"> query_terms: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dl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sum</w:t>
      </w:r>
      <w:r>
        <w:rPr>
          <w:rStyle w:val="NormalTok"/>
          <w:rFonts w:ascii="Times New Roman" w:hAnsi="Times New Roman" w:eastAsia="Times New Roman" w:cs="Times New Roman"/>
          <w:color w:val="000000"/>
          <w:sz w:val="24"/>
        </w:rPr>
        <w:t xml:space="preserve">(resume_tf.values()) </w:t>
      </w:r>
      <w:r>
        <w:rPr>
          <w:rStyle w:val="KeywordTok"/>
          <w:rFonts w:ascii="Times New Roman" w:hAnsi="Times New Roman" w:eastAsia="Times New Roman" w:cs="Times New Roman"/>
          <w:color w:val="000000"/>
          <w:sz w:val="24"/>
        </w:rPr>
        <w:t xml:space="preserve">or</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score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for</w:t>
      </w:r>
      <w:r>
        <w:rPr>
          <w:rStyle w:val="NormalTok"/>
          <w:rFonts w:ascii="Times New Roman" w:hAnsi="Times New Roman" w:eastAsia="Times New Roman" w:cs="Times New Roman"/>
          <w:color w:val="000000"/>
          <w:sz w:val="24"/>
        </w:rPr>
        <w:t xml:space="preserve"> term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query_terms: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resume_tf.get(term,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continue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term_idf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idf.get(term, math.log((</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0.5</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0.5</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norm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(k1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k1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b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b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dl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avg_dl))</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score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term_idf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norm</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score</w:t>
      </w:r>
    </w:p>
    <w:bookmarkEnd w:id="127"/>
    <w:bookmarkStart w:id="128" w:name="a.3-runtime-mode-toggle"/>
    <w:p>
      <w:pPr>
        <w:pStyle w:val="Heading3"/>
        <w:spacing w:line="312" w:lineRule="auto" w:after="80"/>
        <w:ind w:firstLine="283"/>
        <w:jc w:val="both"/>
      </w:pPr>
      <w:r>
        <w:rPr>
          <w:rFonts w:ascii="Times New Roman" w:hAnsi="Times New Roman" w:eastAsia="Times New Roman" w:cs="Times New Roman"/>
          <w:color w:val="000000"/>
          <w:sz w:val="24"/>
        </w:rPr>
        <w:t xml:space="preserve">A.3 Runtime mode toggle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backend/app/services/runtime_settings.py</w:t>
      </w:r>
    </w:p>
    <w:p>
      <w:pPr>
        <w:pStyle w:val="SourceCode"/>
        <w:spacing w:line="312" w:lineRule="auto" w:after="80"/>
        <w:ind w:firstLine="283"/>
        <w:jc w:val="both"/>
      </w:pPr>
      <w:r>
        <w:rPr>
          <w:rStyle w:val="NormalTok"/>
          <w:rFonts w:ascii="Times New Roman" w:hAnsi="Times New Roman" w:eastAsia="Times New Roman" w:cs="Times New Roman"/>
          <w:color w:val="000000"/>
          <w:sz w:val="24"/>
        </w:rPr>
        <w:t xml:space="preserve">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Literal[</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"heuristic"</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_VALID_MODES: </w:t>
      </w:r>
      <w:r>
        <w:rPr>
          <w:rStyle w:val="BuiltInTok"/>
          <w:rFonts w:ascii="Times New Roman" w:hAnsi="Times New Roman" w:eastAsia="Times New Roman" w:cs="Times New Roman"/>
          <w:color w:val="000000"/>
          <w:sz w:val="24"/>
        </w:rPr>
        <w:t xml:space="preserve">tuple</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"heuristic"</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_initial_mode: 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configured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getattr</w:t>
      </w:r>
      <w:r>
        <w:rPr>
          <w:rStyle w:val="NormalTok"/>
          <w:rFonts w:ascii="Times New Roman" w:hAnsi="Times New Roman" w:eastAsia="Times New Roman" w:cs="Times New Roman"/>
          <w:color w:val="000000"/>
          <w:sz w:val="24"/>
        </w:rPr>
        <w:t xml:space="preserve">(settings, </w:t>
      </w:r>
      <w:r>
        <w:rPr>
          <w:rStyle w:val="StringTok"/>
          <w:rFonts w:ascii="Times New Roman" w:hAnsi="Times New Roman" w:eastAsia="Times New Roman" w:cs="Times New Roman"/>
          <w:color w:val="000000"/>
          <w:sz w:val="24"/>
        </w:rPr>
        <w:t xml:space="preserve">"SCORING_MODE"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configured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_VALID_MODES: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_initial_mode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configured</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_current_mode: 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_initial_mode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get_scoring_mode()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ScoringMode: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_current_mode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set_scoring_mode(mode: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ScoringMode: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global</w:t>
      </w:r>
      <w:r>
        <w:rPr>
          <w:rStyle w:val="NormalTok"/>
          <w:rFonts w:ascii="Times New Roman" w:hAnsi="Times New Roman" w:eastAsia="Times New Roman" w:cs="Times New Roman"/>
          <w:color w:val="000000"/>
          <w:sz w:val="24"/>
        </w:rPr>
        <w:t xml:space="preserve"> _current_mode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mode </w:t>
      </w:r>
      <w:r>
        <w:rPr>
          <w:rStyle w:val="KeywordTok"/>
          <w:rFonts w:ascii="Times New Roman" w:hAnsi="Times New Roman" w:eastAsia="Times New Roman" w:cs="Times New Roman"/>
          <w:color w:val="000000"/>
          <w:sz w:val="24"/>
        </w:rPr>
        <w:t xml:space="preserve">not</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_VALID_MODES: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raise</w:t>
      </w:r>
      <w:r>
        <w:rPr>
          <w:rStyle w:val="NormalTok"/>
          <w:rFonts w:ascii="Times New Roman" w:hAnsi="Times New Roman" w:eastAsia="Times New Roman" w:cs="Times New Roman"/>
          <w:color w:val="000000"/>
          <w:sz w:val="24"/>
        </w:rPr>
        <w:t xml:space="preserve"> </w:t>
      </w:r>
      <w:r>
        <w:rPr>
          <w:rStyle w:val="PreprocessorTok"/>
          <w:rFonts w:ascii="Times New Roman" w:hAnsi="Times New Roman" w:eastAsia="Times New Roman" w:cs="Times New Roman"/>
          <w:color w:val="000000"/>
          <w:sz w:val="24"/>
        </w:rPr>
        <w:t xml:space="preserve">ValueError</w:t>
      </w:r>
      <w:r>
        <w:rPr>
          <w:rStyle w:val="NormalTok"/>
          <w:rFonts w:ascii="Times New Roman" w:hAnsi="Times New Roman" w:eastAsia="Times New Roman" w:cs="Times New Roman"/>
          <w:color w:val="000000"/>
          <w:sz w:val="24"/>
        </w:rPr>
        <w:t xml:space="preserve">(</w:t>
      </w:r>
      <w:r>
        <w:rPr>
          <w:rStyle w:val="SpecialStringTok"/>
          <w:rFonts w:ascii="Times New Roman" w:hAnsi="Times New Roman" w:eastAsia="Times New Roman" w:cs="Times New Roman"/>
          <w:color w:val="000000"/>
          <w:sz w:val="24"/>
        </w:rPr>
        <w:t xml:space="preserve">f"unknown scoring mode: </w:t>
      </w:r>
      <w:r>
        <w:rPr>
          <w:rStyle w:val="SpecialCha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mode</w:t>
      </w:r>
      <w:r>
        <w:rPr>
          <w:rStyle w:val="SpecialCharTok"/>
          <w:rFonts w:ascii="Times New Roman" w:hAnsi="Times New Roman" w:eastAsia="Times New Roman" w:cs="Times New Roman"/>
          <w:color w:val="000000"/>
          <w:sz w:val="24"/>
        </w:rPr>
        <w:t xml:space="preserve">!r}</w:t>
      </w:r>
      <w:r>
        <w:rPr>
          <w:rStyle w:val="SpecialString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_current_mode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_current_mode</w:t>
      </w:r>
    </w:p>
    <w:bookmarkEnd w:id="128"/>
    <w:bookmarkStart w:id="129" w:name="a.4-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A.4 Shared tool pipeline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backend/app/services/tool_pipeline.py</w:t>
      </w:r>
    </w:p>
    <w:p>
      <w:pPr>
        <w:pStyle w:val="SourceCode"/>
        <w:spacing w:line="312" w:lineRule="auto" w:after="80"/>
        <w:ind w:firstLine="283"/>
        <w:jc w:val="both"/>
      </w:pPr>
      <w:r>
        <w:rPr>
          <w:rStyle w:val="ControlFlowTok"/>
          <w:rFonts w:ascii="Times New Roman" w:hAnsi="Times New Roman" w:eastAsia="Times New Roman" w:cs="Times New Roman"/>
          <w:color w:val="000000"/>
          <w:sz w:val="24"/>
        </w:rPr>
        <w:t xml:space="preserve">async</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run_tool_pipeline(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tool_name: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service_fn: Callable[..., Awaitable[</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service_kwargs: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label_fn: Callable[[</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resume_text: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job_description: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feedback: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parent_run_id: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workspace_id: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linked_context_ids: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current_user: User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db: Session,</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cache_extra_keys: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"""Shared pipeline: sanitize -&gt; cache -&gt; service -&gt; fallback -&gt; persist -&gt; respond."""</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 (sanitisation, cache lookup, service call, persistence, observability)</w:t>
      </w:r>
    </w:p>
    <w:bookmarkEnd w:id="129"/>
    <w:bookmarkEnd w:id="130"/>
    <w:bookmarkStart w:id="135" w:name="Xe2691035b1ea9be44987f1df6fe865ef1936dcd"/>
    <w:p>
      <w:pPr>
        <w:pStyle w:val="Heading2"/>
        <w:spacing w:line="312" w:lineRule="auto" w:after="80"/>
        <w:ind w:firstLine="283"/>
        <w:jc w:val="both"/>
      </w:pPr>
      <w:r>
        <w:rPr>
          <w:rFonts w:ascii="Times New Roman" w:hAnsi="Times New Roman" w:eastAsia="Times New Roman" w:cs="Times New Roman"/>
          <w:color w:val="000000"/>
          <w:sz w:val="24"/>
        </w:rPr>
        <w:t xml:space="preserve">Appendix B — Evaluation dataset description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used in Chapter 4.3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w:t>
      </w:r>
    </w:p>
    <w:bookmarkStart w:id="131" w:name="b.1-resume-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B.1 Resume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spacing w:line="312" w:lineRule="auto" w:after="80"/>
        <w:ind w:firstLine="283"/>
        <w:jc w:val="both"/>
      </w:pPr>
      <w:r>
        <w:rPr>
          <w:rFonts w:ascii="Times New Roman" w:hAnsi="Times New Roman" w:eastAsia="Times New Roman" w:cs="Times New Roman"/>
          <w:color w:val="000000"/>
          <w:sz w:val="24"/>
        </w:rPr>
        <w:t xml:space="preserve">The synthesis script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It is fully deterministic: a fixed 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produces the same 30 resumes and 20 job descriptions on every run, which makes the evaluation manifest reproducible from the script alone.</w:t>
      </w:r>
    </w:p>
    <w:bookmarkEnd w:id="131"/>
    <w:bookmarkStart w:id="132" w:name="b.2-job-description-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B.2 Job description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2"/>
    <w:bookmarkStart w:id="133" w:name="b.3-pair-construction"/>
    <w:p>
      <w:pPr>
        <w:pStyle w:val="Heading3"/>
        <w:spacing w:line="312" w:lineRule="auto" w:after="80"/>
        <w:ind w:firstLine="283"/>
        <w:jc w:val="both"/>
      </w:pPr>
      <w:r>
        <w:rPr>
          <w:rFonts w:ascii="Times New Roman" w:hAnsi="Times New Roman" w:eastAsia="Times New Roman" w:cs="Times New Roman"/>
          <w:color w:val="000000"/>
          <w:sz w:val="24"/>
        </w:rPr>
        <w:t xml:space="preserve">B.3 Pair construction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pairs each resume with every job description inside the same role track. The JD distribution is three JDs in four tracks and four JDs in two tracks, which produces an exact total of one hundred (resume, JD) pairs.</w:t>
      </w:r>
    </w:p>
    <w:bookmarkEnd w:id="133"/>
    <w:bookmarkStart w:id="134" w:name="b.4-pair-manifest"/>
    <w:p>
      <w:pPr>
        <w:pStyle w:val="Heading3"/>
        <w:spacing w:line="312" w:lineRule="auto" w:after="80"/>
        <w:ind w:firstLine="283"/>
        <w:jc w:val="both"/>
      </w:pPr>
      <w:r>
        <w:rPr>
          <w:rFonts w:ascii="Times New Roman" w:hAnsi="Times New Roman" w:eastAsia="Times New Roman" w:cs="Times New Roman"/>
          <w:color w:val="000000"/>
          <w:sz w:val="24"/>
        </w:rPr>
        <w:t xml:space="preserve">B.4 Pair manifest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manifest produced by the synthesis script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list of one hundred objects with the shape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 resume, jd, role_track}</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composed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r-&lt;track&gt;-&lt;NN&gt;__jd-&lt;track&gt;-&lt;NN&gt;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every row is traceable back to its constituent resume and job description, and every per-pair result in Section 4.3 can be re-queried by id.</w:t>
      </w:r>
    </w:p>
    <w:bookmarkEnd w:id="134"/>
    <w:bookmarkEnd w:id="135"/>
    <w:bookmarkStart w:id="152" w:name="Xa5e1eb6ef87c5a83e8c05d91d91fb5c96834f8e"/>
    <w:p>
      <w:pPr>
        <w:pStyle w:val="Heading2"/>
        <w:spacing w:line="312" w:lineRule="auto" w:after="80"/>
        <w:ind w:firstLine="283"/>
        <w:jc w:val="both"/>
      </w:pPr>
      <w:r>
        <w:rPr>
          <w:rFonts w:ascii="Times New Roman" w:hAnsi="Times New Roman" w:eastAsia="Times New Roman" w:cs="Times New Roman"/>
          <w:color w:val="000000"/>
          <w:sz w:val="24"/>
        </w:rPr>
        <w:t xml:space="preserve">Appendix C — Screenshots of the running system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39" w:name="c.1-landing-page"/>
    <w:p>
      <w:pPr>
        <w:pStyle w:val="Heading3"/>
        <w:spacing w:line="312" w:lineRule="auto" w:after="80"/>
        <w:ind w:firstLine="283"/>
        <w:jc w:val="both"/>
      </w:pPr>
      <w:r>
        <w:rPr>
          <w:rFonts w:ascii="Times New Roman" w:hAnsi="Times New Roman" w:eastAsia="Times New Roman" w:cs="Times New Roman"/>
          <w:color w:val="000000"/>
          <w:sz w:val="24"/>
        </w:rPr>
        <w:t xml:space="preserve">C.1 Landing page</w:t>
      </w:r>
    </w:p>
    <w:p>
      <w:pPr>
        <w:pStyle w:val="CaptionedFigure"/>
        <w:keepNext/>
        <w:spacing w:before="60" w:after="40"/>
        <w:jc w:val="center"/>
      </w:pPr>
      <w:r>
        <w:drawing>
          <wp:inline>
            <wp:extent cx="4031999" cy="2267999"/>
            <wp:effectExtent b="0" l="0" r="0" t="0"/>
            <wp:docPr descr="Figure C.1 — Career Workbench landing page (signed-out, production deployment)." title="" id="137" name="Picture"/>
            <a:graphic>
              <a:graphicData uri="http://schemas.openxmlformats.org/drawingml/2006/picture">
                <pic:pic>
                  <pic:nvPicPr>
                    <pic:cNvPr descr="figures/ui-01-landing.png" id="138" name="Picture"/>
                    <pic:cNvPicPr>
                      <a:picLocks noChangeArrowheads="1" noChangeAspect="1"/>
                    </pic:cNvPicPr>
                  </pic:nvPicPr>
                  <pic:blipFill>
                    <a:blip r:embed="rId136"/>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C.1 — Career Workbench landing page (signed-out, production deployment).</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C.1: The public landing page at</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https://thecareerworkbench.com</w:t>
      </w:r>
      <w:r>
        <w:rPr>
          <w:rFonts w:ascii="Times New Roman" w:hAnsi="Times New Roman" w:eastAsia="Times New Roman" w:cs="Times New Roman"/>
          <w:i/>
          <w:iCs/>
          <w:color w:val="000000"/>
          <w:sz w:val="24"/>
        </w:rPr>
        <w:t xml:space="preserve">, presenting the six career-tooling pillars and the primary call-to-action to sign in or proceed as guest.</w:t>
      </w:r>
    </w:p>
    <w:bookmarkEnd w:id="139"/>
    <w:bookmarkStart w:id="143" w:name="c.2-resume-analyzer-input-page"/>
    <w:p>
      <w:pPr>
        <w:pStyle w:val="Heading3"/>
        <w:spacing w:line="312" w:lineRule="auto" w:after="80"/>
        <w:ind w:firstLine="283"/>
        <w:jc w:val="both"/>
      </w:pPr>
      <w:r>
        <w:rPr>
          <w:rFonts w:ascii="Times New Roman" w:hAnsi="Times New Roman" w:eastAsia="Times New Roman" w:cs="Times New Roman"/>
          <w:color w:val="000000"/>
          <w:sz w:val="24"/>
        </w:rPr>
        <w:t xml:space="preserve">C.2 Resume Analyzer input page</w:t>
      </w:r>
    </w:p>
    <w:p>
      <w:pPr>
        <w:pStyle w:val="CaptionedFigure"/>
        <w:keepNext/>
        <w:spacing w:before="60" w:after="40"/>
        <w:jc w:val="center"/>
      </w:pPr>
      <w:r>
        <w:drawing>
          <wp:inline>
            <wp:extent cx="4031999" cy="2267999"/>
            <wp:effectExtent b="0" l="0" r="0" t="0"/>
            <wp:docPr descr="Figure C.2 — Resume Analyzer input page, guest mode." title="" id="141" name="Picture"/>
            <a:graphic>
              <a:graphicData uri="http://schemas.openxmlformats.org/drawingml/2006/picture">
                <pic:pic>
                  <pic:nvPicPr>
                    <pic:cNvPr descr="figures/ui-03-resume-input.png" id="142" name="Picture"/>
                    <pic:cNvPicPr>
                      <a:picLocks noChangeArrowheads="1" noChangeAspect="1"/>
                    </pic:cNvPicPr>
                  </pic:nvPicPr>
                  <pic:blipFill>
                    <a:blip r:embed="rId140"/>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C.2 — Resume Analyzer input page, guest mode.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C.2: The Resume Analyzer input page (</w:t>
      </w:r>
      <w:r>
        <w:rPr>
          <w:rStyle w:val="VerbatimChar"/>
          <w:rFonts w:ascii="Times New Roman" w:hAnsi="Times New Roman" w:eastAsia="Times New Roman" w:cs="Times New Roman"/>
          <w:i/>
          <w:iCs/>
          <w:color w:val="000000"/>
          <w:sz w:val="24"/>
        </w:rPr>
        <w:t xml:space="preserve">/resume</w:t>
      </w:r>
      <w:r>
        <w:rPr>
          <w:rFonts w:ascii="Times New Roman" w:hAnsi="Times New Roman" w:eastAsia="Times New Roman" w:cs="Times New Roman"/>
          <w:i/>
          <w:iCs/>
          <w:color w:val="000000"/>
          <w:sz w:val="24"/>
        </w:rPr>
        <w:t xml:space="preserve">) as it renders for a guest visitor. The input surface accepts a free-text or uploaded resume, with an optional target job description, before invoking the analytical pipeline described in Chapter 3.2.</w:t>
      </w:r>
    </w:p>
    <w:bookmarkEnd w:id="143"/>
    <w:bookmarkStart w:id="147" w:name="Xe92b625608c320df0d0e71eef401fce0fea85fc"/>
    <w:p>
      <w:pPr>
        <w:pStyle w:val="Heading3"/>
        <w:spacing w:line="312" w:lineRule="auto" w:after="80"/>
        <w:ind w:firstLine="283"/>
        <w:jc w:val="both"/>
      </w:pPr>
      <w:r>
        <w:rPr>
          <w:rFonts w:ascii="Times New Roman" w:hAnsi="Times New Roman" w:eastAsia="Times New Roman" w:cs="Times New Roman"/>
          <w:color w:val="000000"/>
          <w:sz w:val="24"/>
        </w:rPr>
        <w:t xml:space="preserve">C.3 Resume Analyzer result page (blended mode)</w:t>
      </w:r>
    </w:p>
    <w:p>
      <w:pPr>
        <w:pStyle w:val="CaptionedFigure"/>
        <w:keepNext/>
        <w:spacing w:before="60" w:after="40"/>
        <w:jc w:val="center"/>
      </w:pPr>
      <w:r>
        <w:drawing>
          <wp:inline>
            <wp:extent cx="4031999" cy="4531798"/>
            <wp:effectExtent b="0" l="0" r="0" t="0"/>
            <wp:docPr descr="Figure C.3 — Resume Analyzer result page in blended mode." title="" id="145" name="Picture"/>
            <a:graphic>
              <a:graphicData uri="http://schemas.openxmlformats.org/drawingml/2006/picture">
                <pic:pic>
                  <pic:nvPicPr>
                    <pic:cNvPr descr="figures/ui-04-resume-result.png" id="146" name="Picture"/>
                    <pic:cNvPicPr>
                      <a:picLocks noChangeArrowheads="1" noChangeAspect="1"/>
                    </pic:cNvPicPr>
                  </pic:nvPicPr>
                  <pic:blipFill>
                    <a:blip r:embed="rId144"/>
                    <a:stretch>
                      <a:fillRect/>
                    </a:stretch>
                  </pic:blipFill>
                  <pic:spPr bwMode="auto">
                    <a:xfrm>
                      <a:off x="0" y="0"/>
                      <a:ext cx="4031999" cy="4531798"/>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C.3 — Resume Analyzer result page in blended mode.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47"/>
    <w:bookmarkStart w:id="151" w:name="c.4-job-match-result-page"/>
    <w:p>
      <w:pPr>
        <w:pStyle w:val="Heading3"/>
        <w:spacing w:line="312" w:lineRule="auto" w:after="80"/>
        <w:ind w:firstLine="283"/>
        <w:jc w:val="both"/>
      </w:pPr>
      <w:r>
        <w:rPr>
          <w:rFonts w:ascii="Times New Roman" w:hAnsi="Times New Roman" w:eastAsia="Times New Roman" w:cs="Times New Roman"/>
          <w:color w:val="000000"/>
          <w:sz w:val="24"/>
        </w:rPr>
        <w:t xml:space="preserve">C.4 Job Match result page</w:t>
      </w:r>
    </w:p>
    <w:p>
      <w:pPr>
        <w:pStyle w:val="CaptionedFigure"/>
        <w:keepNext/>
        <w:spacing w:before="60" w:after="40"/>
        <w:jc w:val="center"/>
      </w:pPr>
      <w:r>
        <w:drawing>
          <wp:inline>
            <wp:extent cx="4031999" cy="5520898"/>
            <wp:effectExtent b="0" l="0" r="0" t="0"/>
            <wp:docPr descr="Figure C.4 — Job Match result page on the same resume / job-description pair." title="" id="149" name="Picture"/>
            <a:graphic>
              <a:graphicData uri="http://schemas.openxmlformats.org/drawingml/2006/picture">
                <pic:pic>
                  <pic:nvPicPr>
                    <pic:cNvPr descr="figures/ui-05-job-match-result.png" id="150" name="Picture"/>
                    <pic:cNvPicPr>
                      <a:picLocks noChangeArrowheads="1" noChangeAspect="1"/>
                    </pic:cNvPicPr>
                  </pic:nvPicPr>
                  <pic:blipFill>
                    <a:blip r:embed="rId148"/>
                    <a:stretch>
                      <a:fillRect/>
                    </a:stretch>
                  </pic:blipFill>
                  <pic:spPr bwMode="auto">
                    <a:xfrm>
                      <a:off x="0" y="0"/>
                      <a:ext cx="4031999" cy="5520898"/>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C.4 — Job Match result page on the same resume / job-description pair.</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bookmarkEnd w:id="151"/>
    <w:bookmarkEnd w:id="152"/>
    <w:bookmarkStart w:id="156" w:name="appendix-d-configuration-reference"/>
    <w:p>
      <w:pPr>
        <w:pStyle w:val="Heading2"/>
        <w:spacing w:line="312" w:lineRule="auto" w:after="80"/>
        <w:ind w:firstLine="283"/>
        <w:jc w:val="both"/>
      </w:pPr>
      <w:r>
        <w:rPr>
          <w:rFonts w:ascii="Times New Roman" w:hAnsi="Times New Roman" w:eastAsia="Times New Roman" w:cs="Times New Roman"/>
          <w:color w:val="000000"/>
          <w:sz w:val="24"/>
        </w:rPr>
        <w:t xml:space="preserve">Appendix D — Configuration reference</w:t>
      </w:r>
    </w:p>
    <w:bookmarkStart w:id="153" w:name="d.1-backend-environment-variables"/>
    <w:p>
      <w:pPr>
        <w:pStyle w:val="Heading3"/>
        <w:spacing w:line="312" w:lineRule="auto" w:after="80"/>
        <w:ind w:firstLine="283"/>
        <w:jc w:val="both"/>
      </w:pPr>
      <w:r>
        <w:rPr>
          <w:rFonts w:ascii="Times New Roman" w:hAnsi="Times New Roman" w:eastAsia="Times New Roman" w:cs="Times New Roman"/>
          <w:color w:val="000000"/>
          <w:sz w:val="24"/>
        </w:rPr>
        <w:t xml:space="preserve">D.1 Backend environment variables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following environment variables are read at process start and configure the deployed system. Defaults shown in parentheses; consult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backend/app/config.py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the authoritative list.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608"/>
        <w:gridCol w:w="3969"/>
        <w:gridCol w:w="2268"/>
      </w:tblGrid>
      <w:tr>
        <w:trPr>
          <w:tblHeader w:val="on"/>
        </w:trPr>
        <w:tc>
          <w:tcPr>
            <w:tcW w:type="dxa" w:w="260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Variable</w:t>
            </w:r>
          </w:p>
        </w:tc>
        <w:tc>
          <w:tcPr>
            <w:tcW w:type="dxa" w:w="396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tcW w:type="dxa" w:w="226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Default</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DATABASE_URL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DSN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sqlite:///./career_platform.db</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SECRET_KEY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signing secret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ACCESS_TOKEN_EXPIRE_MINUTES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Access-token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REFRESH_TOKEN_EXPIRE_DAYS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Refresh-token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LLM_PROVIDER</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dispatch backend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Primary Gemini model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gemini-2.5-flash</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LLM_PRACTICE_MODEL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Cheaper model used for interview practice feedback</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 falls back to</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LLM_MODEL</w:t>
            </w:r>
            <w:r>
              <w:rPr>
                <w:rFonts w:ascii="Times New Roman" w:hAnsi="Times New Roman" w:eastAsia="Times New Roman" w:cs="Times New Roman"/>
                <w:b w:val="0"/>
                <w:color w:val="000000"/>
                <w:sz w:val="18"/>
              </w:rPr>
              <w:t xml:space="preserv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VERTEX_PROJECT_ID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Cloud project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VERTEX_LOCATION</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Vertex region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us-central1</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BLENDED_SCORING_ENABLED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Apply 60/40 LLM/heuristic blend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SCORING_MODE</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Scoring core mode (</w:t>
            </w:r>
            <w:r>
              <w:rPr>
                <w:rStyle w:val="VerbatimChar"/>
                <w:rFonts w:ascii="Times New Roman" w:hAnsi="Times New Roman" w:eastAsia="Times New Roman" w:cs="Times New Roman"/>
                <w:b w:val="0"/>
                <w:color w:val="000000"/>
                <w:sz w:val="18"/>
              </w:rPr>
              <w:t xml:space="preserve">blended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or</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heuristic</w:t>
            </w:r>
            <w:r>
              <w:rPr>
                <w:rFonts w:ascii="Times New Roman" w:hAnsi="Times New Roman" w:eastAsia="Times New Roman" w:cs="Times New Roman"/>
                <w:b w:val="0"/>
                <w:color w:val="000000"/>
                <w:sz w:val="18"/>
              </w:rPr>
              <w:t xml:space="preserve">) — added with the comparative study</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In-memory cache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RESULT_CACHE_TTL_SECONDS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Cache TTL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3600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CORS_ORIGINS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Allowed CORS origins</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localhost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defaults</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FRONTEND_URL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Canonical frontend URL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(set in production)</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GOOGLE_CLIENT_ID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GOOGLE_CLIENT_SECRET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GOOGLE_REDIRECT_URI</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OAuth</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RESEND_API_KEY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Transactional email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SENTRY_DSN</w:t>
            </w:r>
          </w:p>
        </w:tc>
        <w:tc>
          <w:tcPr>
            <w:tcW w:type="dxa" w:w="396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Error tracking</w:t>
            </w:r>
          </w:p>
        </w:tc>
        <w:tc>
          <w:tcPr>
            <w:tcW w:type="dxa" w:w="226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disables)</w:t>
            </w:r>
          </w:p>
        </w:tc>
      </w:tr>
    </w:tbl>
    <w:bookmarkEnd w:id="153"/>
    <w:bookmarkStart w:id="154" w:name="d.2-administrative-endpoints"/>
    <w:p>
      <w:pPr>
        <w:pStyle w:val="Heading3"/>
        <w:spacing w:line="312" w:lineRule="auto" w:after="80"/>
        <w:ind w:firstLine="283"/>
        <w:jc w:val="both"/>
      </w:pPr>
      <w:r>
        <w:rPr>
          <w:rFonts w:ascii="Times New Roman" w:hAnsi="Times New Roman" w:eastAsia="Times New Roman" w:cs="Times New Roman"/>
          <w:color w:val="000000"/>
          <w:sz w:val="24"/>
        </w:rPr>
        <w:t xml:space="preserve">D.2 Administrative endpoints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administrative HTTP API used for the comparative study is exposed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w:t>
      </w:r>
      <w:r>
        <w:rPr>
          <w:rFonts w:ascii="Times New Roman" w:hAnsi="Times New Roman" w:eastAsia="Times New Roman" w:cs="Times New Roman"/>
          <w:color w:val="000000"/>
          <w:sz w:val="24"/>
        </w:rPr>
        <w:t xml:space="preserve">:</w:t>
      </w:r>
    </w:p>
    <w:p>
      <w:pPr>
        <w:pStyle w:val="Compact"/>
        <w:numPr>
          <w:ilvl w:val="0"/>
          <w:numId w:val="1009"/>
        </w:numPr>
        <w:spacing w:line="312" w:lineRule="auto" w:after="80"/>
        <w:ind w:firstLine="283"/>
        <w:jc w:val="both"/>
      </w:pPr>
      <w:r>
        <w:rPr>
          <w:rStyle w:val="VerbatimChar"/>
          <w:rFonts w:ascii="Times New Roman" w:hAnsi="Times New Roman" w:eastAsia="Times New Roman" w:cs="Times New Roman"/>
          <w:color w:val="000000"/>
          <w:sz w:val="24"/>
        </w:rPr>
        <w:t xml:space="preserve">GET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Compact"/>
        <w:numPr>
          <w:ilvl w:val="0"/>
          <w:numId w:val="1009"/>
        </w:numPr>
        <w:spacing w:line="312" w:lineRule="auto" w:after="80"/>
        <w:ind w:firstLine="283"/>
        <w:jc w:val="both"/>
      </w:pP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body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 "mode": "blended" | "heuristic"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returns the updated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response shape contains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mode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blended_weight_heuristic</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blended_weight_llm</w:t>
      </w:r>
      <w:r>
        <w:rPr>
          <w:rFonts w:ascii="Times New Roman" w:hAnsi="Times New Roman" w:eastAsia="Times New Roman" w:cs="Times New Roman"/>
          <w:color w:val="000000"/>
          <w:sz w:val="24"/>
        </w:rPr>
        <w:t xml:space="preserve">; for the default blended configuration the two weights are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0.4</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0.6</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color w:val="000000"/>
          <w:sz w:val="24"/>
        </w:rPr>
        <w:t xml:space="preserve">Both endpoints require an authenticated administrator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users.is_admin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flag controls access) and are rate-limited at 60 requests per minute per administrator. The runtime mode change is held in process memory only; restarting the backend restores the configured default from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environment variable.</w:t>
      </w:r>
    </w:p>
    <w:bookmarkEnd w:id="154"/>
    <w:bookmarkStart w:id="155" w:name="d.3-running-the-evaluation-harness"/>
    <w:p>
      <w:pPr>
        <w:pStyle w:val="Heading3"/>
        <w:spacing w:line="312" w:lineRule="auto" w:after="80"/>
        <w:ind w:firstLine="283"/>
        <w:jc w:val="both"/>
      </w:pPr>
      <w:r>
        <w:rPr>
          <w:rFonts w:ascii="Times New Roman" w:hAnsi="Times New Roman" w:eastAsia="Times New Roman" w:cs="Times New Roman"/>
          <w:color w:val="000000"/>
          <w:sz w:val="24"/>
        </w:rPr>
        <w:t xml:space="preserve">D.3 Running the evaluation harness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run used:</w:t>
      </w:r>
    </w:p>
    <w:p>
      <w:pPr>
        <w:pStyle w:val="Compact"/>
        <w:numPr>
          <w:ilvl w:val="0"/>
          <w:numId w:val="1010"/>
        </w:numPr>
        <w:spacing w:line="312" w:lineRule="auto" w:after="80"/>
        <w:ind w:firstLine="283"/>
        <w:jc w:val="both"/>
      </w:pPr>
      <w:r>
        <w:rPr>
          <w:rStyle w:val="VerbatimChar"/>
          <w:rFonts w:ascii="Times New Roman" w:hAnsi="Times New Roman" w:eastAsia="Times New Roman" w:cs="Times New Roman"/>
          <w:color w:val="000000"/>
          <w:sz w:val="24"/>
        </w:rPr>
        <w:t xml:space="preserve">cd backend</w:t>
      </w:r>
    </w:p>
    <w:p>
      <w:pPr>
        <w:pStyle w:val="Compact"/>
        <w:numPr>
          <w:ilvl w:val="0"/>
          <w:numId w:val="1010"/>
        </w:numPr>
        <w:spacing w:line="312" w:lineRule="auto" w:after="80"/>
        <w:ind w:firstLine="283"/>
        <w:jc w:val="both"/>
      </w:pPr>
      <w:r>
        <w:rPr>
          <w:rStyle w:val="VerbatimChar"/>
          <w:rFonts w:ascii="Times New Roman" w:hAnsi="Times New Roman" w:eastAsia="Times New Roman" w:cs="Times New Roman"/>
          <w:color w:val="000000"/>
          <w:sz w:val="24"/>
        </w:rPr>
        <w:t xml:space="preserve">SCORING_MODE=blended RESULT_CACHE_ENABLED=false python ../scripts/eval_scoring.py</w:t>
      </w:r>
    </w:p>
    <w:p>
      <w:pPr>
        <w:pStyle w:val="Compact"/>
        <w:numPr>
          <w:ilvl w:val="0"/>
          <w:numId w:val="1010"/>
        </w:numPr>
        <w:spacing w:line="312" w:lineRule="auto" w:after="80"/>
        <w:ind w:firstLine="283"/>
        <w:jc w:val="both"/>
      </w:pPr>
      <w:r>
        <w:rPr>
          <w:rStyle w:val="VerbatimChar"/>
          <w:rFonts w:ascii="Times New Roman" w:hAnsi="Times New Roman" w:eastAsia="Times New Roman" w:cs="Times New Roman"/>
          <w:color w:val="000000"/>
          <w:sz w:val="24"/>
        </w:rPr>
        <w:t xml:space="preserve">python ../scripts/analyze_eval_results.py &gt; ../thesis/chapter-04-results.md</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harness writes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the analyzer prints the Markdown tables ready to paste into Chapter 4.3.</w:t>
      </w:r>
    </w:p>
    <w:bookmarkEnd w:id="155"/>
    <w:bookmarkEnd w:id="156"/>
    <w:bookmarkEnd w:id="157"/>
    <w:sectPr>
      <w:type w:val="nextPage"/>
      <w:footerReference w:type="default" r:id="rId149"/>
      <w:pgSz w:w="11906" w:h="16838"/>
      <w:pgMar w:top="1417" w:right="1417" w:bottom="1417" w:left="1417" w:header="709" w:footer="709" w:gutter="0"/>
      <w:pgNumType w:fmt="decimal"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er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80" w:line="312" w:lineRule="auto"/>
      <w:ind w:firstLine="283"/>
      <w:jc w:val="both"/>
    </w:pPr>
    <w:rPr>
      <w:rFonts w:asciiTheme="minorHAnsi" w:cstheme="minorBidi" w:eastAsiaTheme="minorHAnsi" w:hAnsiTheme="minorHAnsi" w:ascii="Times New Roman" w:hAnsi="Times New Roman" w:eastAsia="Times New Roman" w:cs="Times New Roman"/>
      <w:color w:val="000000"/>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pPr>
      <w:ind w:left="0"/>
      <w:spacing w:before="0" w:after="60"/>
      <w:tabs>
        <w:tab w:val="right" w:leader="dot" w:pos="9072"/>
      </w:tabs>
    </w:pPr>
    <w:rPr>
      <w:rFonts w:ascii="Times New Roman" w:hAnsi="Times New Roman" w:eastAsia="Times New Roman" w:cs="Times New Roman"/>
      <w:sz w:val="24"/>
    </w:rPr>
  </w:style>
  <w:style w:type="paragraph" w:styleId="TOC2">
    <w:name w:val="toc 2"/>
    <w:basedOn w:val="Normal"/>
    <w:next w:val="Normal"/>
    <w:uiPriority w:val="39"/>
    <w:pPr>
      <w:ind w:left="360"/>
      <w:spacing w:before="0" w:after="60"/>
      <w:tabs>
        <w:tab w:val="right" w:leader="dot" w:pos="9072"/>
      </w:tabs>
    </w:pP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footer" Target="footer3.xml"/><Relationship Id="rId103" Type="http://schemas.openxmlformats.org/officeDocument/2006/relationships/image" Target="media/rId103.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48" Type="http://schemas.openxmlformats.org/officeDocument/2006/relationships/image" Target="media/rId148.png"/><Relationship Id="rId38" Type="http://schemas.openxmlformats.org/officeDocument/2006/relationships/image" Target="media/rId38.png"/><Relationship Id="rId42" Type="http://schemas.openxmlformats.org/officeDocument/2006/relationships/image" Target="media/rId42.png"/><Relationship Id="rId55" Type="http://schemas.openxmlformats.org/officeDocument/2006/relationships/image" Target="media/rId55.png"/><Relationship Id="rId149"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2026-05-08T14:35:37Z</dcterms:created>
  <dcterms:modified xsi:type="dcterms:W3CDTF">2026-05-08T14:35:37Z</dcterms:modified>
</cp:coreProperties>
</file>

<file path=docProps/custom.xml><?xml version="1.0" encoding="utf-8"?>
<Properties xmlns="http://schemas.openxmlformats.org/officeDocument/2006/custom-properties" xmlns:vt="http://schemas.openxmlformats.org/officeDocument/2006/docPropsVTypes"/>
</file>