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700"/>
      </w:pPr>
      <w:r>
        <w:rPr>
          <w:rFonts w:ascii="Times New Roman" w:hAnsi="Times New Roman" w:eastAsia="Times New Roman" w:cs="Times New Roman"/>
          <w:sz w:val="26"/>
          <w:szCs w:val="26"/>
        </w:rPr>
        <w:t>Faculty of Electronics, Photonics and Microsystems</w:t>
      </w: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312" w:lineRule="auto" w:after="8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Frontend zbudowano w technologiach React 19 i TanStack Start; backend wykorzystuje FastAPI oraz PostgreSQL; wnioskowanie modelu językowego delegowano do usługi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odpowiedzi na obawy dotyczące kosztu, opóźnienia oraz zależności od zewnętrznego dostawcy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łączy deterministyczną heurystykę ze strukturalnym wyjściem modelu językowego (40% / 60%).</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opiera się na klasycznych metodach wyszukiwania informacji: analizie słów kluczowych TF–IDF z rankingiem BM25, normalizacji umiejętności zgodnej z taksonomią ESCO, dopasowaniu rozmytym oraz ekstrakcji cech ważonych sekcjami.</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Kontrolowane studium porównawcze oceniło oba tryby na 100 parach (CV, opis stanowiska) obejmujących sześć ścieżek zawodowych. Zbiór ewaluacyjny stanowią deterministycznie wygenerowane syntetyczne CV oraz syntetyczne opisy stanowisk skonstruowane z rozłącznych słownikowo pul fraz; strona CV i strona opisu stanowiska nie współdzielą słownictwa treściowego poza kanonicznymi nazwami umiejętności. W tym zbiorze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 przedział ufności 0,762, 0,896, bootstrap klastrowy względem identyfikatora CV] oraz Spearmanowskim ρ = 0,847, działa około dwa do trzech rzędów wielkości szybciej (mediana 25,5 ms wobec 18,2 s) oraz nie ponosi krańcowego kosztu po stronie modelu językowego.</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 CI 0,476, 0,765]. Tryb mieszany zachowuje przewagę w zakresie dowodów jakości prozy (podwynik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motywuje utrzymanie komponentu językowego obok deterministycznej linii bazowej. Ograniczenia obejmują zakres jednojęzyczny (angielski), syntetyczny zbiór jednego autora oraz pojedynczą konfigurację dostawcy modelu językowego. Praca przyszła obejmuje integrację komponentu wyszukiwania wspomagającego, rozszerzenie o CV w języku polskim oraz uzupełnienie heurystyki o pośredni poziom dopasowania semantycznego oparty na transformatorach zdań.</w:t>
      </w:r>
    </w:p>
    <w:p>
      <w:pPr>
        <w:pStyle w:val="BodyText"/>
        <w:spacing w:line="312" w:lineRule="auto" w:after="8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312" w:lineRule="auto" w:after="80"/>
        <w:ind w:firstLine="283"/>
        <w:jc w:val="both"/>
      </w:pPr>
      <w:r>
        <w:rPr>
          <w:rFonts w:ascii="Times New Roman" w:hAnsi="Times New Roman" w:eastAsia="Times New Roman" w:cs="Times New Roman"/>
          <w:color w:val="000000"/>
          <w:sz w:val="24"/>
        </w:rPr>
        <w:t xml:space="preserve">Abstract (English)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rPr>
        <w:t xml:space="preserve">To address cost, latency, and external-provider dependence, the analytical core supports two runtime-switchable scoring modes.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combines a deterministic heuristic with the language model’s structured output at 40% / 60% weighting.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uses classical information-retrieval methods: TF–IDF and BM25 keyword evidence, ESCO-aligned skill normalisation, string-similarity fuzzy matching, and section-weighted feature extraction.</w:t>
      </w:r>
    </w:p>
    <w:p>
      <w:pPr>
        <w:pStyle w:val="BodyText"/>
        <w:spacing w:line="312" w:lineRule="auto" w:after="80"/>
        <w:ind w:firstLine="283"/>
        <w:jc w:val="both"/>
      </w:pPr>
      <w:r>
        <w:rPr>
          <w:rFonts w:ascii="Times New Roman" w:hAnsi="Times New Roman" w:eastAsia="Times New Roman" w:cs="Times New Roman"/>
          <w:color w:val="000000"/>
          <w:sz w:val="24"/>
        </w:rP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while running much faster (median 25.5 ms vs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after controlling for the 0.40 heuristic share embedded in the blended formula.</w:t>
      </w:r>
    </w:p>
    <w:p>
      <w:pPr>
        <w:pStyle w:val="BodyText"/>
        <w:spacing w:line="312" w:lineRule="auto" w:after="80"/>
        <w:ind w:firstLine="283"/>
        <w:jc w:val="both"/>
      </w:pPr>
      <w:r>
        <w:rPr>
          <w:rFonts w:ascii="Times New Roman" w:hAnsi="Times New Roman" w:eastAsia="Times New Roman" w:cs="Times New Roman"/>
          <w:color w:val="000000"/>
          <w:sz w:val="24"/>
        </w:rPr>
        <w:t xml:space="preserve">The result supports the heuristic mode as a fast, auditable fallback, while the blended mode retains value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Limitations include English-only evaluation, a single-author synthetic dataset, and one LLM provider. Future work proposes Polish-language ESCO support, retrieval-augmented grounding, and a sentence-transformer intermediate tier.</w:t>
      </w:r>
    </w:p>
    <w:p>
      <w:pPr>
        <w:pStyle w:val="BodyText"/>
        <w:spacing w:line="312" w:lineRule="auto" w:after="8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pPr>
        <w:pStyle w:val="Heading1"/>
        <w:spacing w:line="312" w:lineRule="auto" w:after="80"/>
        <w:ind w:firstLine="283"/>
        <w:jc w:val="both"/>
      </w:pPr>
      <w:r>
        <w:rPr>
          <w:rFonts w:ascii="Times New Roman" w:hAnsi="Times New Roman" w:eastAsia="Times New Roman" w:cs="Times New Roman"/>
          <w:color w:val="000000"/>
          <w:sz w:val="24"/>
        </w:rPr>
        <w:t xml:space="preserve">Acknowledgements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 would like to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spacing w:line="312" w:lineRule="auto" w:after="80"/>
        <w:ind w:firstLine="283"/>
        <w:jc w:val="both"/>
      </w:pPr>
      <w:r>
        <w:rPr>
          <w:rFonts w:ascii="Times New Roman" w:hAnsi="Times New Roman" w:eastAsia="Times New Roman" w:cs="Times New Roman"/>
          <w:color w:val="000000"/>
          <w:sz w:val="24"/>
        </w:rPr>
        <w:t xml:space="preserve">I am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for providing the academic environment in which this thesis was prepared, and to the staff and lecturers whose courses across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curriculum gave me the technical foundation on which this work builds.</w:t>
      </w:r>
    </w:p>
    <w:p>
      <w:pPr>
        <w:pStyle w:val="BodyText"/>
        <w:spacing w:line="312" w:lineRule="auto" w:after="80"/>
        <w:ind w:firstLine="283"/>
        <w:jc w:val="both"/>
      </w:pPr>
      <w:r>
        <w:rPr>
          <w:rFonts w:ascii="Times New Roman" w:hAnsi="Times New Roman" w:eastAsia="Times New Roman" w:cs="Times New Roman"/>
          <w:color w:val="000000"/>
          <w:sz w:val="24"/>
        </w:rPr>
        <w:t xml:space="preserve">My thanks to the open-source maintainers of the FastAPI, TanStack, React, and SQLAlchemy projects, whose libraries made it possible for a single developer to ship a system at this scope on a thesis-bound schedule.</w:t>
      </w:r>
    </w:p>
    <w:p>
      <w:pPr>
        <w:pStyle w:val="BodyText"/>
        <w:spacing w:line="312" w:lineRule="auto" w:after="80"/>
        <w:ind w:firstLine="283"/>
        <w:jc w:val="both"/>
      </w:pPr>
      <w:r>
        <w:rPr>
          <w:rFonts w:ascii="Times New Roman" w:hAnsi="Times New Roman" w:eastAsia="Times New Roman" w:cs="Times New Roman"/>
          <w:color w:val="000000"/>
          <w:sz w:val="24"/>
        </w:rPr>
        <w:t xml:space="preserve">Egemen Goncu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Wrocław, May 2026</w:t>
      </w:r>
    </w:p>
    <w:bookmarkEnd w:id="24"/>
    <w:bookmarkStart w:id="26" w:name="list-of-abbreviations-and-symbols"/>
    <w:p>
      <w:pPr>
        <w:pStyle w:val="Heading1"/>
        <w:spacing w:line="312" w:lineRule="auto" w:after="80"/>
        <w:ind w:firstLine="283"/>
        <w:jc w:val="both"/>
      </w:pPr>
      <w:r>
        <w:rPr>
          <w:rFonts w:ascii="Times New Roman" w:hAnsi="Times New Roman" w:eastAsia="Times New Roman" w:cs="Times New Roman"/>
          <w:color w:val="000000"/>
          <w:sz w:val="24"/>
        </w:rPr>
        <w:t xml:space="preserve">List of abbreviations and symbols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Abbreviation</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Expansion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Artificial Intelligence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Application Programming Interface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Archive of Diploma Theses (USOS-APD)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ATS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Applicant Tracking System</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Best Match 25 (probabilistic relevance ranking function)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Confidence Interval / Continuous Integration, depending on context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CORS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Cross-Origin Resource Sharing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ESCO</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European Skills, Competences, Qualifications and Occupations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 web framework used by the backend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GDPR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General Data Protection Regulation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Gemini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large-language-model family used through Vertex AI</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HTTP / HTTPS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HyperText Transfer Protocol / HTTP Secure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Information Retrieval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Job Description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JavaScript Object Notation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 Web Token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Kolmogorov–Smirnov statistical distance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Large Language Model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Named-Entity Recognition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NLP</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Natural Language Processing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OAuth</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Open Authorisation / federated-identity protocol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Occupational Information Network taxonomy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ORM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Object–Relational Mapping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Portable Document Format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PWr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Politechnika Wrocławska / Wrocław University of Science and Technology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RAG</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Retrieval-Augmented Generation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Representational State Transfer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SBERT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Sentence-BERT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SQL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Structured Query Language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TF–IDF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Term Frequency–Inverse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UI / UX</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User Interface / User Experience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URL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Uniform Resource Locator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 Archive of Diploma Theses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UUID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Universally Unique Identifier</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WEFiM</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Faculty of Electronics, Photonics and Microsystems</w:t>
            </w:r>
          </w:p>
        </w:tc>
      </w:tr>
    </w:tbl>
    <w:bookmarkStart w:id="25" w:name="symbols-used-in-formulas-in-chapter-4"/>
    <w:p>
      <w:pPr>
        <w:pStyle w:val="Heading2"/>
        <w:spacing w:line="312" w:lineRule="auto" w:after="80"/>
        <w:ind w:firstLine="283"/>
        <w:jc w:val="both"/>
      </w:pPr>
      <w:r>
        <w:rPr>
          <w:rFonts w:ascii="Times New Roman" w:hAnsi="Times New Roman" w:eastAsia="Times New Roman" w:cs="Times New Roman"/>
          <w:color w:val="000000"/>
          <w:sz w:val="24"/>
        </w:rPr>
        <w:t xml:space="preserve">Symbols (used in formulas in Chapter 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Symbol</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Meaning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 correlation coefficient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ρ, 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and Kendall rank-correlation coefficients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k₁</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b</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 term-frequency saturation and document-length normalisation parameters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Fuzzy-matching similarity threshold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 of term</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Number of resumes and number of job descriptions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J</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 single resume and a single job description</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w:t>
            </w:r>
            <w:r>
              <w:rPr>
                <w:rFonts w:ascii="Times New Roman" w:hAnsi="Times New Roman" w:eastAsia="Times New Roman" w:cs="Times New Roman"/>
                <w:b w:val="0"/>
                <w:color w:val="000000"/>
                <w:sz w:val="18"/>
              </w:rPr>
              <w:t xml:space="preserve">(·)</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 extractor function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keepNext/>
        <w:spacing w:before="0" w:after="160"/>
        <w:sectPr>
          <w:type w:val="nextPage"/>
          <w:footerReference w:type="default" r:id="rId153"/>
          <w:pgSz w:w="11906" w:h="16838"/>
          <w:pgMar w:top="1417" w:right="1417" w:bottom="1417" w:left="1417" w:header="709" w:footer="709" w:gutter="0"/>
          <w:pgNumType w:fmt="lowerRoman" w:start="1"/>
          <w:cols w:space="708"/>
          <w:docGrid w:linePitch="360"/>
        </w:sectPr>
      </w:pPr>
      <w:r>
        <w:fldChar w:fldCharType="begin" w:dirty="true"/>
      </w:r>
      <w:r>
        <w:instrText xml:space="preserve">TOC \o "1-2" \h \z \u</w:instrText>
      </w:r>
      <w:r>
        <w:fldChar w:fldCharType="separate"/>
      </w:r>
      <w:r>
        <w:fldChar w:fldCharType="end"/>
      </w:r>
    </w:p>
    <w:p>
      <w:pPr>
        <w:pStyle w:val="Heading1"/>
        <w:spacing w:line="312" w:lineRule="auto" w:after="80"/>
        <w:ind w:firstLine="283"/>
        <w:jc w:val="both"/>
      </w:pPr>
      <w:r>
        <w:rPr>
          <w:rFonts w:ascii="Times New Roman" w:hAnsi="Times New Roman" w:eastAsia="Times New Roman" w:cs="Times New Roman"/>
          <w:color w:val="000000"/>
          <w:sz w:val="24"/>
        </w:rPr>
        <w:t xml:space="preserve">Chapter 1 — Introduction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Choosing a career path has become harder as job titles fragment, skill requirements change quickly, and many applications pass through automated screening before a human reviewer sees them [3, 18]. Candidates therefore face two coupled problems: understanding which roles fit their current experience, and presenting that experience in a form that remains legible to both recruiters and algorithmic filters.</w:t>
      </w:r>
    </w:p>
    <w:p>
      <w:pPr>
        <w:pStyle w:val="BodyText"/>
        <w:spacing w:line="312" w:lineRule="auto" w:after="80"/>
        <w:ind w:firstLine="283"/>
        <w:jc w:val="both"/>
      </w:pPr>
      <w:r>
        <w:rPr>
          <w:rFonts w:ascii="Times New Roman" w:hAnsi="Times New Roman" w:eastAsia="Times New Roman" w:cs="Times New Roman"/>
          <w:color w:val="000000"/>
          <w:sz w:val="24"/>
        </w:rPr>
        <w:t xml:space="preserve">Most existing support is fragmented. A candidate may use one tool for resume editing, another for job-board matching, another for a cover letter, and another for interview preparation. Each tool starts from the same resume but rarely carries context into the next step. The thesis addresses this gap by building an integrated AI-based career-support system in which the resume is the shared representation used across all tools.</w:t>
      </w:r>
    </w:p>
    <w:p>
      <w:pPr>
        <w:pStyle w:val="BodyText"/>
        <w:spacing w:line="312" w:lineRule="auto" w:after="80"/>
        <w:ind w:firstLine="283"/>
        <w:jc w:val="both"/>
      </w:pPr>
      <w:r>
        <w:rPr>
          <w:rFonts w:ascii="Times New Roman" w:hAnsi="Times New Roman" w:eastAsia="Times New Roman" w:cs="Times New Roman"/>
          <w:color w:val="000000"/>
          <w:sz w:val="24"/>
        </w:rPr>
        <w:t xml:space="preserve">The immediate motivation was practical rather than abstract. During an internship search, the same resume had to be re-entered into a resume editor, a match-score tool, a cover-letter prompt, and an interview-question generator. The friction was not that any single tool was unusable; it was that each one forgot what the previous step had already established. The system developed for this thesis therefore treats continuity of candidate context as a first-class requirement.</w:t>
      </w:r>
    </w:p>
    <w:bookmarkStart w:id="27" w:name="the-career-decision-problem"/>
    <w:p>
      <w:pPr>
        <w:pStyle w:val="Heading2"/>
        <w:spacing w:line="312" w:lineRule="auto" w:after="8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Career decision making combines three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describe skills, experience, and preferences in a machine-readable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that profile compares with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which changes, projects, or interview stories would improve the candidate’s position.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spacing w:line="312" w:lineRule="auto" w:after="8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spacing w:line="312" w:lineRule="auto" w:after="80"/>
        <w:ind w:firstLine="283"/>
        <w:jc w:val="both"/>
      </w:pPr>
      <w:r>
        <w:rPr>
          <w:rFonts w:ascii="Times New Roman" w:hAnsi="Times New Roman" w:eastAsia="Times New Roman" w:cs="Times New Roman"/>
          <w:color w:val="000000"/>
          <w:sz w:val="24"/>
        </w:rPr>
        <w:t xml:space="preserve">CareerRec [15], for example, applies tree-based classifiers to 2,255 information-technology employee records and reports about 70% accuracy on career-path classification.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spacing w:line="312" w:lineRule="auto" w:after="8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spacing w:line="312" w:lineRule="auto" w:after="80"/>
        <w:ind w:firstLine="283"/>
        <w:jc w:val="both"/>
      </w:pPr>
      <w:r>
        <w:rPr>
          <w:rFonts w:ascii="Times New Roman" w:hAnsi="Times New Roman" w:eastAsia="Times New Roman" w:cs="Times New Roman"/>
          <w:color w:val="000000"/>
          <w:sz w:val="24"/>
        </w:rP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spacing w:line="312" w:lineRule="auto" w:after="80"/>
        <w:ind w:firstLine="283"/>
        <w:jc w:val="both"/>
      </w:pPr>
      <w:r>
        <w:rPr>
          <w:rFonts w:ascii="Times New Roman" w:hAnsi="Times New Roman" w:eastAsia="Times New Roman" w:cs="Times New Roman"/>
          <w:color w:val="000000"/>
          <w:sz w:val="24"/>
        </w:rPr>
        <w:t xml:space="preserve">Job-description analysis is the demand-side counterpart. Recent work links job postings to standardised taxonomies such as ESCO, the European multilingual classification [8], and O*NET. This normalisation lets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spacing w:line="312" w:lineRule="auto" w:after="8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thesis centres on a design tension between two scoring families. The first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deterministic information-retrieval methods such as TF–IDF [5], BM25 [6], string-similarity fuzzy matching [7], taxonomy lookup [8, 9], and section-weighted feature extraction [18]. These methods are cheap, auditable, and independent of external inference services. Their strongest claim is that they capture much of the first-pass recruiter signal: skill overlap, measurable impact, structure, and completeness.</w:t>
      </w:r>
    </w:p>
    <w:p>
      <w:pPr>
        <w:pStyle w:val="BodyText"/>
        <w:spacing w:line="312" w:lineRule="auto" w:after="8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LLM services that read a resume and a job description as natural language and return structured reasoning about alignment. Recent recruitment research reports faster screening and richer feedback from LLM agents and semantic feedback loops than from manual or keyword-only review [16, 17, 18, 19]. Their trade-off is per-call cost, higher latency, and a reasoning process that is harder to audit.</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dichotomy motivates the comparative study in Chapter 4. The implemented system exposes both modes through one interface: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that combines heuristic and LLM scores,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that skips the LLM. The research question is deliberately bounded: on a controlled, deterministically generated synthetic benchmark of resumes and job descriptions, how much of the blended mode’s discriminative power is recoverable from a strictly classical-IR heuristic, and at what latency and cost ratio? The benchmark limits are stated explicitly in Section 4.1.4.</w:t>
      </w:r>
    </w:p>
    <w:p>
      <w:pPr>
        <w:pStyle w:val="BodyText"/>
        <w:spacing w:line="312" w:lineRule="auto" w:after="80"/>
        <w:ind w:firstLine="283"/>
        <w:jc w:val="both"/>
      </w:pPr>
      <w:r>
        <w:rPr>
          <w:rFonts w:ascii="Times New Roman" w:hAnsi="Times New Roman" w:eastAsia="Times New Roman" w:cs="Times New Roman"/>
          <w:color w:val="000000"/>
          <w:sz w:val="24"/>
        </w:rPr>
        <w:t xml:space="preserve">The implementation order is also disclosed because it affects interpretation. The blended mode existed first; the strong heuristic was designed later after the supervisor proposed a heuristic-only comparison. This creates a post-hoc design-coupling threat that Chapter 4 treats as a validity limitation rather than hiding it.</w:t>
      </w:r>
    </w:p>
    <w:p>
      <w:pPr>
        <w:pStyle w:val="BodyText"/>
        <w:spacing w:line="312" w:lineRule="auto" w:after="80"/>
        <w:ind w:firstLine="283"/>
        <w:jc w:val="both"/>
      </w:pPr>
      <w:r>
        <w:rPr>
          <w:rFonts w:ascii="Times New Roman" w:hAnsi="Times New Roman" w:eastAsia="Times New Roman" w:cs="Times New Roman"/>
          <w:color w:val="000000"/>
          <w:sz w:val="24"/>
        </w:rPr>
        <w:t xml:space="preserve">The value of the comparison is operational. If the heuristic preserves useful ranking behaviour, it can act as a low-cost fallback when the LLM is unavailable and as a live demonstration mode during the diploma defence. If it fails, the system still benefits from the blended mode, but the fallback must be framed only as an emergency response.</w:t>
      </w:r>
    </w:p>
    <w:p>
      <w:pPr>
        <w:pStyle w:val="BodyText"/>
        <w:spacing w:line="312" w:lineRule="auto" w:after="80"/>
        <w:ind w:firstLine="283"/>
        <w:jc w:val="both"/>
      </w:pPr>
      <w:r>
        <w:rPr>
          <w:rFonts w:ascii="Times New Roman" w:hAnsi="Times New Roman" w:eastAsia="Times New Roman" w:cs="Times New Roman"/>
          <w:color w:val="000000"/>
          <w:sz w:val="24"/>
        </w:rPr>
        <w:t xml:space="preserve">The comparison also clarifies the boundary between engineering and research in the project. The engineering task is to deliver a reliable user-facing system. The research task is to characterise one design decision inside that system: whether a transparent scoring baseline remains useful when compared with the LLM-augmented path. The two tasks reinforce each other because the same runtime switch used for the study is also a practical operational control.</w:t>
      </w:r>
    </w:p>
    <w:p>
      <w:r>
        <w:br w:type="page"/>
      </w:r>
    </w:p>
    <w:bookmarkEnd w:id="30"/>
    <w:bookmarkStart w:id="31" w:name="purpose-of-the-thesis"/>
    <w:p>
      <w:pPr>
        <w:pStyle w:val="Heading2"/>
        <w:spacing w:line="312" w:lineRule="auto" w:after="80"/>
        <w:ind w:firstLine="283"/>
        <w:jc w:val="both"/>
      </w:pPr>
      <w:r>
        <w:rPr>
          <w:rFonts w:ascii="Times New Roman" w:hAnsi="Times New Roman" w:eastAsia="Times New Roman" w:cs="Times New Roman"/>
          <w:color w:val="000000"/>
          <w:sz w:val="24"/>
        </w:rPr>
        <w:t xml:space="preserve">1.5 Purpose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spacing w:line="312" w:lineRule="auto" w:after="80"/>
        <w:ind w:firstLine="283"/>
        <w:jc w:val="both"/>
      </w:pPr>
      <w:r>
        <w:rPr>
          <w:rFonts w:ascii="Times New Roman" w:hAnsi="Times New Roman" w:eastAsia="Times New Roman" w:cs="Times New Roman"/>
          <w:color w:val="000000"/>
          <w:sz w:val="24"/>
        </w:rPr>
        <w:t xml:space="preserve">The scope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has two aspects.</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using score agreement, distribution shape, latency, and per-call cost.</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spacing w:line="312" w:lineRule="auto" w:after="80"/>
        <w:ind w:firstLine="283"/>
        <w:jc w:val="both"/>
      </w:pPr>
      <w:r>
        <w:rPr>
          <w:rFonts w:ascii="Times New Roman" w:hAnsi="Times New Roman" w:eastAsia="Times New Roman" w:cs="Times New Roman"/>
          <w:color w:val="000000"/>
          <w:sz w:val="24"/>
        </w:rP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spacing w:line="312" w:lineRule="auto" w:after="8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Chapter 2 describes the system architecture: requirements, technology stack, backend layering, frontend routing and state, persistence, security, and Railway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3 describes the six tools and the shared implementation patterns: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prompt construction, structured-output validation, caching, retry behaviour, and heuristic fallback.</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4 presents the comparative study. It defines the synthetic dataset and controls, specifies the strong heuristic v2, reports agreement, distribution, latency, cost, and ablation results, and discusses limitations.</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5 concludes the thesis by summarising the engineering and empirical contributions, restating the limitations, and identifying future work: Polish-language ESCO support, a sentence-transformer intermediate tier [20, 21], and retrieval-augmented grounding for LLM outputs [25].</w:t>
      </w:r>
    </w:p>
    <w:p>
      <w:pPr>
        <w:pStyle w:val="BodyText"/>
        <w:spacing w:line="312" w:lineRule="auto" w:after="80"/>
        <w:ind w:firstLine="283"/>
        <w:jc w:val="both"/>
      </w:pPr>
      <w:r>
        <w:rPr>
          <w:rFonts w:ascii="Times New Roman" w:hAnsi="Times New Roman" w:eastAsia="Times New Roman" w:cs="Times New Roman"/>
          <w:color w:val="000000"/>
          <w:sz w:val="24"/>
        </w:rP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spacing w:line="312" w:lineRule="auto" w:after="80"/>
        <w:ind w:firstLine="283"/>
        <w:jc w:val="both"/>
      </w:pPr>
      <w:r>
        <w:rPr>
          <w:rFonts w:ascii="Times New Roman" w:hAnsi="Times New Roman" w:eastAsia="Times New Roman" w:cs="Times New Roman"/>
          <w:color w:val="000000"/>
          <w:sz w:val="24"/>
        </w:rPr>
        <w:t xml:space="preserve">Chapter 2 — System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architecture of the implemented system: requirements, technology stack, backend and frontend structure, persistence, authentication, and deployment. Design rationales are included only where they affect the thesis evaluation or operational behaviour.</w:t>
      </w:r>
    </w:p>
    <w:bookmarkStart w:id="36" w:name="X543fc3ee69d8b9eebfbf21368042f80b38ec856"/>
    <w:p>
      <w:pPr>
        <w:pStyle w:val="Heading2"/>
        <w:spacing w:line="312" w:lineRule="auto" w:after="8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was designed to satisfy six functional requirements, one per user-facing tool, and seven non-functional requirements.</w:t>
      </w:r>
    </w:p>
    <w:bookmarkStart w:id="34" w:name="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2.1.1 Functional requirements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ID / tool</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Required behaviour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F1 Resume Analyzer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Assess a resume with overall score, sub-scores, issues, actions, and strengths.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F2 Job Match</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Compare a resume with a job description and return score, matched and missing keywords, verdict, and action items.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F3 Career Path</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Suggest ranked career paths with rationale, required skills, and progression timeline.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F4 Cover Letter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Generate a tailored cover letter from resume and job description.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F5 Interview Q&amp;A</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Generate likely interview questions by category with coaching notes.</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F6 Portfolio Planner</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Identify skill gaps and concrete portfolio artefact ideas for a target role.</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same uploaded resume must serve all six tools without re-entry. Tool runs must be re-runnable, and previous results must be usable as context for later tools.</w:t>
      </w:r>
    </w:p>
    <w:bookmarkEnd w:id="34"/>
    <w:bookmarkStart w:id="35" w:name="non-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non-functional requirements reflect a single-developer, thesis-scoped deployment.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separated because the analytical core supports two scoring modes (Section 4.2.9).</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N1a: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heuristic-only path should remain below 50 ms at the 95th percentile.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N1b: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cold path should remain below 25 s at the 95th percentile, dominated by the upstream Gemini call; cached production requests are materially faster as reported in Section 3.9.</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LLM cost is bounded by Gemini 2.5 Flash. Fully heuristic mode reduces LLM-side marginal cost to zero.</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Analytical tools fall back to heuristic-only output after LLM failure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Generative tools fail with a structured retry-able error rather than fabricating content.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Each persisted tool invocation stores hashed inputs, full output, timing, access mode, and linkage metadata for later inspection and for the study in Chapter 4.</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Logged-in screens load no third-party advertising or analytics scripts. Personal data is encrypted in transit and at rest by the managed provider; passwords are stored as bcrypt hashes.</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 deployment runs as one Railway project with frontend, backend, and managed PostgreSQL behind one external origin.</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must be operable from a laptop and must allow the analytical core to switch between blended and fully heuristic modes during a diploma-defence demonstration.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latency requirement was split after measurement. An earlier single cold-path target below five seconds did not match the observed behaviour of structured LLM calls. Separating N1a and N1b keeps the requirement honest: the heuristic path is evaluated as local computation, while the blended path is evaluated as an upstream-service workflow whose tail latency is outside the application’s direct control.</w:t>
      </w:r>
    </w:p>
    <w:bookmarkEnd w:id="35"/>
    <w:bookmarkEnd w:id="36"/>
    <w:bookmarkStart w:id="37" w:name="technology-stack-and-rationale"/>
    <w:p>
      <w:pPr>
        <w:pStyle w:val="Heading2"/>
        <w:spacing w:line="312" w:lineRule="auto" w:after="8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technology stack is summarised in Table 2.1.</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Layer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Choice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Rationale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Backend</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 0.115+, SQLAlchemy 2.0, Alembic</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Python-native API, typed validation, mature relational persistence.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Database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(Railway managed)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Single-node managed database is sufficient for thesis traffic.</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provider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Vertex AI Gemini 2.5 Flash</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Low-cost structured-output model with an asynchronous client.</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Frontend</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React 19, TanStack Start, Vite 7</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SPA workspace, type-safe file routing, fast development build.</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Styling and UI</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Tailwind 4, Radix UI, Framer Motion</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Accessible primitives, utility styling, controlled animation.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Authentication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HttpOnly cookies, Google OAuth</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No client-readable tokens and standard refresh rotation.</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Operations</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Railway, Resend, Sentry</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Unified deployment, transactional reset email, lightweight error tracking.</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FastAPI was selected over a TypeScript backend because the analytical core benefits from Python’s mature text-processing ecosystem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optional retrieval libraries) and from the official Google Vertex AI client. Keeping scoring logic in Python reduces the risk of language-boundary differences in the comparative study.</w:t>
      </w:r>
    </w:p>
    <w:p>
      <w:pPr>
        <w:pStyle w:val="BodyText"/>
        <w:spacing w:line="312" w:lineRule="auto" w:after="80"/>
        <w:ind w:firstLine="283"/>
        <w:jc w:val="both"/>
      </w:pPr>
      <w:r>
        <w:rPr>
          <w:rFonts w:ascii="Times New Roman" w:hAnsi="Times New Roman" w:eastAsia="Times New Roman" w:cs="Times New Roman"/>
          <w:color w:val="000000"/>
          <w:sz w:val="24"/>
        </w:rPr>
        <w:t xml:space="preserve">TanStack Start was selected over Next.js because the application is an authenticated workspace rather than a content site. Type-safe file routing and co-located search-parameter state fit the multi-tool workflow, while server components and ISR would add little to the thesis scope.</w:t>
      </w:r>
    </w:p>
    <w:p>
      <w:pPr>
        <w:pStyle w:val="BodyText"/>
        <w:spacing w:line="312" w:lineRule="auto" w:after="80"/>
        <w:ind w:firstLine="283"/>
        <w:jc w:val="both"/>
      </w:pPr>
      <w:r>
        <w:rPr>
          <w:rFonts w:ascii="Times New Roman" w:hAnsi="Times New Roman" w:eastAsia="Times New Roman" w:cs="Times New Roman"/>
          <w:color w:val="000000"/>
          <w:sz w:val="24"/>
        </w:rPr>
        <w:t xml:space="preserve">The deployment stack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2.3 Backend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60" w:after="40"/>
        <w:jc w:val="center"/>
      </w:pPr>
      <w:r>
        <w:drawing>
          <wp:inline>
            <wp:extent cx="4031999" cy="2911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312" w:lineRule="auto" w:after="80"/>
        <w:ind w:firstLine="283"/>
        <w:jc w:val="both"/>
      </w:pPr>
      <w:r>
        <w:rPr>
          <w:rFonts w:ascii="Times New Roman" w:hAnsi="Times New Roman" w:eastAsia="Times New Roman" w:cs="Times New Roman"/>
          <w:color w:val="000000"/>
          <w:sz w:val="24"/>
        </w:rPr>
        <w:t xml:space="preserve">2.3.1 Routers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Routers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mounted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Each router validates the request body with the relevant Pydantic schema, resolves dependencies such as the current user and database session, invokes a service function, and returns the response. Keeping routers thin makes the tool services and the shared pipeline the main units of behaviour.</w:t>
      </w:r>
    </w:p>
    <w:bookmarkEnd w:id="41"/>
    <w:bookmarkStart w:id="45" w:name="the-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six tools share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Its stages are shown in Figure 2.2.</w:t>
      </w:r>
    </w:p>
    <w:p>
      <w:pPr>
        <w:pStyle w:val="Compact"/>
        <w:numPr>
          <w:ilvl w:val="0"/>
          <w:numId w:val="1002"/>
        </w:numPr>
        <w:spacing w:line="312" w:lineRule="auto" w:after="8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text, job descriptions, and feedback strings are normalised and bounded before reaching prompts.</w:t>
      </w:r>
    </w:p>
    <w:p>
      <w:pPr>
        <w:pStyle w:val="Compact"/>
        <w:numPr>
          <w:ilvl w:val="0"/>
          <w:numId w:val="1002"/>
        </w:numPr>
        <w:spacing w:line="312" w:lineRule="auto" w:after="8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hash of the tool name, sanitised inputs, user identifier, and tool-specific keys is checked against the in-memory cache.</w:t>
      </w:r>
    </w:p>
    <w:p>
      <w:pPr>
        <w:pStyle w:val="Compact"/>
        <w:numPr>
          <w:ilvl w:val="0"/>
          <w:numId w:val="1002"/>
        </w:numPr>
        <w:spacing w:line="312" w:lineRule="auto" w:after="8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coroutine performs heuristic extraction, prompt construction, LLM invocation where applicable, and post-processing.</w:t>
      </w:r>
    </w:p>
    <w:p>
      <w:pPr>
        <w:pStyle w:val="Compact"/>
        <w:numPr>
          <w:ilvl w:val="0"/>
          <w:numId w:val="1002"/>
        </w:numPr>
        <w:spacing w:line="312" w:lineRule="auto" w:after="8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Authenticated results are stored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rows with labels, payloads, linked context, workspace identifiers, regeneration parent ids, and feedback text.</w:t>
      </w:r>
    </w:p>
    <w:p>
      <w:pPr>
        <w:pStyle w:val="Compact"/>
        <w:numPr>
          <w:ilvl w:val="0"/>
          <w:numId w:val="1002"/>
        </w:numPr>
        <w:spacing w:line="312" w:lineRule="auto" w:after="8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returns the history identifier and access mode.</w:t>
      </w:r>
    </w:p>
    <w:p>
      <w:pPr>
        <w:pStyle w:val="Compact"/>
        <w:numPr>
          <w:ilvl w:val="0"/>
          <w:numId w:val="1002"/>
        </w:numPr>
        <w:spacing w:line="312" w:lineRule="auto" w:after="8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Structured start, success, and failure events record tool name, access mode, duration, and error category.</w:t>
      </w:r>
    </w:p>
    <w:p>
      <w:pPr>
        <w:pStyle w:val="CaptionedFigure"/>
        <w:keepNext/>
        <w:spacing w:before="60" w:after="40"/>
        <w:jc w:val="center"/>
      </w:pPr>
      <w:r>
        <w:drawing>
          <wp:inline>
            <wp:extent cx="4031999" cy="2911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312" w:lineRule="auto" w:after="80"/>
        <w:ind w:firstLine="283"/>
        <w:jc w:val="both"/>
      </w:pPr>
      <w:r>
        <w:rPr>
          <w:rFonts w:ascii="Times New Roman" w:hAnsi="Times New Roman" w:eastAsia="Times New Roman" w:cs="Times New Roman"/>
          <w:color w:val="000000"/>
          <w:sz w:val="24"/>
        </w:rPr>
        <w:t xml:space="preserve">The pipeline gives every tool the same cache, persistence, and observability behaviour. It also lets Chapter 4 reason about mode switching and fallback uniformly rather than per endpoint.</w:t>
      </w:r>
    </w:p>
    <w:p>
      <w:pPr>
        <w:pStyle w:val="BodyText"/>
        <w:spacing w:line="312" w:lineRule="auto" w:after="80"/>
        <w:ind w:firstLine="283"/>
        <w:jc w:val="both"/>
      </w:pPr>
      <w:r>
        <w:rPr>
          <w:rFonts w:ascii="Times New Roman" w:hAnsi="Times New Roman" w:eastAsia="Times New Roman" w:cs="Times New Roman"/>
          <w:color w:val="000000"/>
          <w:sz w:val="24"/>
        </w:rPr>
        <w:t xml:space="preserve">This common wrapper is especially important for regenerated results. A regeneration is just another pipeline run with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optional feedback, and the same persistence contract. The design avoids hidden per-tool exceptions: whether the run is a resume analysis, a cover letter, or a portfolio plan, the frontend can expect a history identifier and a stable result page.</w:t>
      </w:r>
    </w:p>
    <w:bookmarkEnd w:id="45"/>
    <w:bookmarkStart w:id="46" w:name="tool-services-and-prompt-builders"/>
    <w:p>
      <w:pPr>
        <w:pStyle w:val="Heading3"/>
        <w:spacing w:line="312" w:lineRule="auto" w:after="8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tool is implemented through a service module and a prompt module. The service orchestrates the heuristic prepass, invokes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and post-processes the validated result. The prompt module assembles the system and user messages from inputs and the locked heuristic payload. This split keeps prompt content versioned but separate from service orchestration.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modules are also where mode-specific behaviour is isolated. Analytical services can return a heuristic-only response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when the LLM path fails. Generative services do not attempt a heuristic substitute, because a deterministic cover letter or interview answer would be misleading.</w:t>
      </w:r>
    </w:p>
    <w:bookmarkEnd w:id="46"/>
    <w:bookmarkStart w:id="47" w:name="th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2.3.4 The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Resume Analyzer and Job Match compute a deterministic prepass before the LLM call. The prepass detects sections, bullets, quantified achievements, matched and missing keywords, skill phrases, and five sub-scores: keyword alignment, impact, structure, clarity, and completeness. The payload is appended to the prompt as a locked block that the LLM must treat as ground truth. This stabilises scoring and makes heuristic-only fallback and fully heuristic mode possible without a separate response contract.</w:t>
      </w:r>
    </w:p>
    <w:p>
      <w:r>
        <w:br w:type="page"/>
      </w:r>
    </w:p>
    <w:bookmarkEnd w:id="47"/>
    <w:bookmarkEnd w:id="48"/>
    <w:bookmarkStart w:id="52" w:name="front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2.4 Frontend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frontend is a single-page application served from the same Railway project as the backend.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the remaining routes.</w:t>
      </w:r>
    </w:p>
    <w:bookmarkStart w:id="49" w:name="route-structure"/>
    <w:p>
      <w:pPr>
        <w:pStyle w:val="Heading3"/>
        <w:spacing w:line="312" w:lineRule="auto" w:after="80"/>
        <w:ind w:firstLine="283"/>
        <w:jc w:val="both"/>
      </w:pPr>
      <w:r>
        <w:rPr>
          <w:rFonts w:ascii="Times New Roman" w:hAnsi="Times New Roman" w:eastAsia="Times New Roman" w:cs="Times New Roman"/>
          <w:color w:val="000000"/>
          <w:sz w:val="24"/>
        </w:rPr>
        <w:t xml:space="preserve">2.4.1 Route structure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generated by TanStack Router. Each tool has an input route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 result 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where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persisted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Additional routes cover dashboard, account settings, login, password reset, history, and the admin scoring-mode surface.</w:t>
      </w:r>
    </w:p>
    <w:bookmarkEnd w:id="49"/>
    <w:bookmarkStart w:id="50" w:name="state-management"/>
    <w:p>
      <w:pPr>
        <w:pStyle w:val="Heading3"/>
        <w:spacing w:line="312" w:lineRule="auto" w:after="80"/>
        <w:ind w:firstLine="283"/>
        <w:jc w:val="both"/>
      </w:pPr>
      <w:r>
        <w:rPr>
          <w:rFonts w:ascii="Times New Roman" w:hAnsi="Times New Roman" w:eastAsia="Times New Roman" w:cs="Times New Roman"/>
          <w:color w:val="000000"/>
          <w:sz w:val="24"/>
        </w:rPr>
        <w:t xml:space="preserve">2.4.2 State management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State is split into three scopes. Server state is held in TanStack Query, including session, history, and loaded results. Workflow state, such as the carried resume and linked result context, is stored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through hooks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Component state remains local to inputs, sheets, animations, and transient UI flags.</w:t>
      </w:r>
    </w:p>
    <w:bookmarkEnd w:id="50"/>
    <w:bookmarkStart w:id="51" w:name="layout-shell-and-navigation"/>
    <w:p>
      <w:pPr>
        <w:pStyle w:val="Heading3"/>
        <w:spacing w:line="312" w:lineRule="auto" w:after="8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application shell uses a dark sidebar, topbar, and light content area. The sidebar groups the six tools into primary, application, and planning clusters. On mobile, navigation collapses into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Tool metadata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adding a tool requires one registry entry rather than repeated UI edits.</w:t>
      </w:r>
    </w:p>
    <w:bookmarkEnd w:id="51"/>
    <w:bookmarkEnd w:id="52"/>
    <w:bookmarkStart w:id="53" w:name="data-model-and-persistence"/>
    <w:p>
      <w:pPr>
        <w:pStyle w:val="Heading2"/>
        <w:spacing w:line="312" w:lineRule="auto" w:after="8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persistence model contains three primary tables, summarised in Table 2.2.</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Table</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Key columns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users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registered account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(UUID),</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email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password_hash</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(bcrypt) or null for OAuth-only accounts,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google_subject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federated identities, timestamps.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tool_runs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tool invocation that the system chose to persist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tool_name</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result_json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parent_run_id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regeneration chains,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linked_context_ids</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workspace_id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feedback_text</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created_at</w:t>
            </w:r>
            <w:r>
              <w:rPr>
                <w:rFonts w:ascii="Times New Roman" w:hAnsi="Times New Roman" w:eastAsia="Times New Roman" w:cs="Times New Roman"/>
                <w:b w:val="0"/>
                <w:color w:val="000000"/>
                <w:sz w:val="18"/>
              </w:rPr>
              <w:t xml:space="preserve">.</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workspaces</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Optional grouping of tool runs around a single role search</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 timestamps.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Regeneration never overwrites an existing result: a regenerated run creates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pointing to the earlier row. Guest runs are not persisted to PostgreSQL; they live briefly in memory behind a session cookie, which keeps the database focused on authenticated history.</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linked_context_ids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 supports the workflow argument of the thesis. When a user invokes a cover letter from a Job Match result, or opens Interview Q&amp;A from an analysed resume, the new result can record the prior run it depended on. This creates a graph of tool usage without requiring a separate workflow engine.</w:t>
      </w:r>
    </w:p>
    <w:bookmarkEnd w:id="53"/>
    <w:bookmarkStart w:id="54" w:name="authentication-and-security"/>
    <w:p>
      <w:pPr>
        <w:pStyle w:val="Heading2"/>
        <w:spacing w:line="312" w:lineRule="auto" w:after="8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Authentication uses JWTs in HttpOnly cookies: a 30-minute access token and a 7-day refresh token. The refresh token is sent only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is rotated on every successful refresh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CSRF tokens are not issued because the API accepts JSON request bodies and the SameSite policy matches the threat model.</w:t>
      </w:r>
    </w:p>
    <w:p>
      <w:pPr>
        <w:pStyle w:val="BodyText"/>
        <w:spacing w:line="312" w:lineRule="auto" w:after="80"/>
        <w:ind w:firstLine="283"/>
        <w:jc w:val="both"/>
      </w:pPr>
      <w:r>
        <w:rPr>
          <w:rFonts w:ascii="Times New Roman" w:hAnsi="Times New Roman" w:eastAsia="Times New Roman" w:cs="Times New Roman"/>
          <w:color w:val="000000"/>
          <w:sz w:val="24"/>
        </w:rPr>
        <w:t xml:space="preserve">Google OAuth is implemented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Password reset uses a single-use token sent through Resend and bound to the current password hash. Inputs are sanitised before prompt construction (Section 2.3.2), disposable-email domains are blocklisted,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rate limits login and password-reset endpoints more strictly than tool endpoints.</w:t>
      </w:r>
    </w:p>
    <w:bookmarkEnd w:id="54"/>
    <w:bookmarkStart w:id="58" w:name="deployment-topology"/>
    <w:p>
      <w:pPr>
        <w:pStyle w:val="Heading2"/>
        <w:spacing w:line="312" w:lineRule="auto" w:after="80"/>
        <w:ind w:firstLine="283"/>
        <w:jc w:val="both"/>
      </w:pPr>
      <w:r>
        <w:rPr>
          <w:rFonts w:ascii="Times New Roman" w:hAnsi="Times New Roman" w:eastAsia="Times New Roman" w:cs="Times New Roman"/>
          <w:color w:val="000000"/>
          <w:sz w:val="24"/>
        </w:rPr>
        <w:t xml:space="preserve">2.7 Deployment topology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production deployment runs as a single Railway project with frontend service, backend service, and managed PostgreSQL add-on (Figure 2.3).</w:t>
      </w:r>
    </w:p>
    <w:p>
      <w:pPr>
        <w:pStyle w:val="CaptionedFigure"/>
        <w:keepNext/>
        <w:spacing w:before="60" w:after="40"/>
        <w:jc w:val="center"/>
      </w:pPr>
      <w:r>
        <w:drawing>
          <wp:inline>
            <wp:extent cx="4031999" cy="279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4031999" cy="2799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312" w:lineRule="auto" w:after="80"/>
        <w:ind w:firstLine="283"/>
        <w:jc w:val="both"/>
      </w:pPr>
      <w:r>
        <w:rPr>
          <w:rFonts w:ascii="Times New Roman" w:hAnsi="Times New Roman" w:eastAsia="Times New Roman" w:cs="Times New Roman"/>
          <w:color w:val="000000"/>
          <w:sz w:val="24"/>
        </w:rPr>
        <w:t xml:space="preserve">The shared hostname removes cross-origin complexity for SPA API calls and simplifies cookie configuration. PostgreSQL backups retain seven daily snapshots. Continuous deployment is tied to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branch, while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remains a development checkpoint. This two-branch model keeps the thesis deployment surface narrow without introducing a CI/CD system larger than the project requires.</w:t>
      </w:r>
    </w:p>
    <w:p>
      <w:pPr>
        <w:pStyle w:val="BodyText"/>
        <w:spacing w:line="312" w:lineRule="auto" w:after="80"/>
        <w:ind w:firstLine="283"/>
        <w:jc w:val="both"/>
      </w:pPr>
      <w:r>
        <w:rPr>
          <w:rFonts w:ascii="Times New Roman" w:hAnsi="Times New Roman" w:eastAsia="Times New Roman" w:cs="Times New Roman"/>
          <w:color w:val="000000"/>
          <w:sz w:val="24"/>
        </w:rPr>
        <w:t xml:space="preserve">Railway was chosen because it keeps frontend, backend, database, logs, and metrics under one operational surface. A split deployment, such as frontend hosting plus a separate backend host, was considered but rejected because it would add CORS, cookie, and routing overhead without improving the thesis evaluation.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single-origin deployment is also relevant to authentication. HttpOnly cookies are simpler when the SPA and API share one origin, and path-based routing avoids the browser-policy complexity of maintaining separate frontend and backend domains. For a larger product this architecture could be split later, but doing so during the thesis would have added operational risk without strengthening the research result.</w:t>
      </w:r>
    </w:p>
    <w:p>
      <w:pPr>
        <w:pStyle w:val="BodyText"/>
        <w:spacing w:line="312" w:lineRule="auto" w:after="80"/>
        <w:ind w:firstLine="283"/>
        <w:jc w:val="both"/>
      </w:pPr>
      <w:r>
        <w:rPr>
          <w:rFonts w:ascii="Times New Roman" w:hAnsi="Times New Roman" w:eastAsia="Times New Roman" w:cs="Times New Roman"/>
          <w:color w:val="000000"/>
          <w:sz w:val="24"/>
        </w:rPr>
        <w:t xml:space="preserve">The next chapter details the six tools supported by this architecture.</w:t>
      </w:r>
    </w:p>
    <w:bookmarkEnd w:id="58"/>
    <w:bookmarkEnd w:id="59"/>
    <w:bookmarkStart w:id="85" w:name="chapter-3-tool-implementations"/>
    <w:p>
      <w:pPr>
        <w:pStyle w:val="Heading1"/>
        <w:spacing w:line="312" w:lineRule="auto" w:after="80"/>
        <w:ind w:firstLine="283"/>
        <w:jc w:val="both"/>
      </w:pPr>
      <w:r>
        <w:rPr>
          <w:rFonts w:ascii="Times New Roman" w:hAnsi="Times New Roman" w:eastAsia="Times New Roman" w:cs="Times New Roman"/>
          <w:color w:val="000000"/>
          <w:sz w:val="24"/>
        </w:rPr>
        <w:t xml:space="preserve">Chapter 3 — Tool implementations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312" w:lineRule="auto" w:after="8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5" w:name="cross-cutting-design"/>
    <w:p>
      <w:pPr>
        <w:pStyle w:val="Heading2"/>
        <w:spacing w:line="312" w:lineRule="auto" w:after="8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312" w:lineRule="auto" w:after="8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requests JSON output, and returns a parsed Python dictionary.</w:t>
      </w:r>
    </w:p>
    <w:p>
      <w:pPr>
        <w:pStyle w:val="BodyText"/>
        <w:spacing w:line="312" w:lineRule="auto" w:after="8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312" w:lineRule="auto" w:after="80"/>
        <w:ind w:firstLine="283"/>
        <w:jc w:val="both"/>
      </w:pPr>
      <w:r>
        <w:rPr>
          <w:rFonts w:ascii="Times New Roman" w:hAnsi="Times New Roman" w:eastAsia="Times New Roman" w:cs="Times New Roman"/>
          <w:color w:val="000000"/>
          <w:sz w:val="24"/>
        </w:rPr>
        <w:t xml:space="preserve">The 5, 10, 20, and 40 second retry schedule was selected after early testing; a shorter 2–4–8–16 schedule often retried before the upstream transient error had cleared.</w:t>
      </w:r>
    </w:p>
    <w:bookmarkEnd w:id="60"/>
    <w:bookmarkStart w:id="61" w:name="the-locked-payload-prompt-pattern"/>
    <w:p>
      <w:pPr>
        <w:pStyle w:val="Heading3"/>
        <w:spacing w:line="312" w:lineRule="auto" w:after="8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The backend then recomputes the final score from the deterministic prepass and the returned LLM score breakdown, so the deployed response does not rely on the model to preserve arithmetic correctly.</w:t>
      </w:r>
    </w:p>
    <w:bookmarkEnd w:id="61"/>
    <w:bookmarkStart w:id="62" w:name="pydantic-validated-structured-output"/>
    <w:p>
      <w:pPr>
        <w:pStyle w:val="Heading3"/>
        <w:spacing w:line="312" w:lineRule="auto" w:after="80"/>
        <w:ind w:firstLine="283"/>
        <w:jc w:val="both"/>
      </w:pPr>
      <w:r>
        <w:rPr>
          <w:rFonts w:ascii="Times New Roman" w:hAnsi="Times New Roman" w:eastAsia="Times New Roman" w:cs="Times New Roman"/>
          <w:color w:val="000000"/>
          <w:sz w:val="24"/>
        </w:rPr>
        <w:t xml:space="preserve">3.1.3 Pydantic-validated structured output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API response returned from a tool router is validated against a Pydantic response model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frontend mirrors those response contracts with Zod schemas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validates responses before rendering. The two schema files are kept aligned by tests and code review rather than by code generation, which is adequate for the small number of response shapes in this project. Gemini itself is asked for JSON output, but the backend treats the model response as untrusted: service-level normalisation fills missing fields, drops invalid enum values, and falls back to deterministic heuristic content when the analytical LLM call fails.</w:t>
      </w:r>
    </w:p>
    <w:bookmarkEnd w:id="62"/>
    <w:bookmarkStart w:id="63" w:name="fallback-policy"/>
    <w:p>
      <w:pPr>
        <w:pStyle w:val="Heading3"/>
        <w:spacing w:line="312" w:lineRule="auto" w:after="80"/>
        <w:ind w:firstLine="283"/>
        <w:jc w:val="both"/>
      </w:pPr>
      <w:r>
        <w:rPr>
          <w:rFonts w:ascii="Times New Roman" w:hAnsi="Times New Roman" w:eastAsia="Times New Roman" w:cs="Times New Roman"/>
          <w:color w:val="000000"/>
          <w:sz w:val="24"/>
        </w:rPr>
        <w:t xml:space="preserve">3.1.4 Fallback policy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spacing w:line="312" w:lineRule="auto" w:after="80"/>
        <w:ind w:firstLine="283"/>
        <w:jc w:val="both"/>
      </w:pPr>
      <w:r>
        <w:rPr>
          <w:rFonts w:ascii="Times New Roman" w:hAnsi="Times New Roman" w:eastAsia="Times New Roman" w:cs="Times New Roman"/>
          <w:color w:val="000000"/>
          <w:sz w:val="24"/>
        </w:rPr>
        <w:t xml:space="preserve">3.1.5 Caching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Redis is documented in Chapter 5 as the planned upgrade for V1.1.</w:t>
      </w:r>
    </w:p>
    <w:bookmarkEnd w:id="64"/>
    <w:bookmarkEnd w:id="65"/>
    <w:bookmarkStart w:id="69" w:name="resume-analyzer"/>
    <w:p>
      <w:pPr>
        <w:pStyle w:val="Heading2"/>
        <w:spacing w:line="312" w:lineRule="auto" w:after="80"/>
        <w:ind w:firstLine="283"/>
        <w:jc w:val="both"/>
      </w:pPr>
      <w:r>
        <w:rPr>
          <w:rFonts w:ascii="Times New Roman" w:hAnsi="Times New Roman" w:eastAsia="Times New Roman" w:cs="Times New Roman"/>
          <w:color w:val="000000"/>
          <w:sz w:val="24"/>
        </w:rPr>
        <w:t xml:space="preserve">3.2 Resume Analyzer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spacing w:line="312" w:lineRule="auto" w:after="80"/>
        <w:ind w:firstLine="283"/>
        <w:jc w:val="both"/>
      </w:pPr>
      <w:r>
        <w:rPr>
          <w:rFonts w:ascii="Times New Roman" w:hAnsi="Times New Roman" w:eastAsia="Times New Roman" w:cs="Times New Roman"/>
          <w:color w:val="000000"/>
          <w:sz w:val="24"/>
        </w:rPr>
        <w:t xml:space="preserve">3.2.1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request body contains the raw resume text (free-form, minimum 50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6"/>
    <w:bookmarkStart w:id="67" w:nam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3.2.2 Heuristic prepass</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[8, 9, 12].</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7"/>
    <w:bookmarkStart w:id="68" w:name="prompt-and-post-processing"/>
    <w:p>
      <w:pPr>
        <w:pStyle w:val="Heading3"/>
        <w:spacing w:line="312" w:lineRule="auto" w:after="8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beyond the configured confidence-gap threshold (18 points for v2, 20 points for v1),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estimates disagreed.</w:t>
      </w:r>
    </w:p>
    <w:bookmarkEnd w:id="68"/>
    <w:bookmarkEnd w:id="69"/>
    <w:bookmarkStart w:id="73" w:name="job-match"/>
    <w:p>
      <w:pPr>
        <w:pStyle w:val="Heading2"/>
        <w:spacing w:line="312" w:lineRule="auto" w:after="80"/>
        <w:ind w:firstLine="283"/>
        <w:jc w:val="both"/>
      </w:pPr>
      <w:r>
        <w:rPr>
          <w:rFonts w:ascii="Times New Roman" w:hAnsi="Times New Roman" w:eastAsia="Times New Roman" w:cs="Times New Roman"/>
          <w:color w:val="000000"/>
          <w:sz w:val="24"/>
        </w:rPr>
        <w:t xml:space="preserve">3.3 Job Match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70" w:name="input-contract-1"/>
    <w:p>
      <w:pPr>
        <w:pStyle w:val="Heading3"/>
        <w:spacing w:line="312" w:lineRule="auto" w:after="80"/>
        <w:ind w:firstLine="283"/>
        <w:jc w:val="both"/>
      </w:pPr>
      <w:r>
        <w:rPr>
          <w:rFonts w:ascii="Times New Roman" w:hAnsi="Times New Roman" w:eastAsia="Times New Roman" w:cs="Times New Roman"/>
          <w:color w:val="000000"/>
          <w:sz w:val="24"/>
        </w:rPr>
        <w:t xml:space="preserve">3.3.1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spacing w:line="312" w:lineRule="auto" w:after="80"/>
        <w:ind w:firstLine="283"/>
        <w:jc w:val="both"/>
      </w:pPr>
      <w:r>
        <w:rPr>
          <w:rFonts w:ascii="Times New Roman" w:hAnsi="Times New Roman" w:eastAsia="Times New Roman" w:cs="Times New Roman"/>
          <w:color w:val="000000"/>
          <w:sz w:val="24"/>
        </w:rPr>
        <w:t xml:space="preserve">3.3.2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1"/>
    <w:bookmarkStart w:id="72" w:name="prompt-and-post-processing-1"/>
    <w:p>
      <w:pPr>
        <w:pStyle w:val="Heading3"/>
        <w:spacing w:line="312" w:lineRule="auto" w:after="8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312" w:lineRule="auto" w:after="80"/>
        <w:ind w:firstLine="283"/>
        <w:jc w:val="both"/>
      </w:pPr>
      <w:r>
        <w:rPr>
          <w:rFonts w:ascii="Times New Roman" w:hAnsi="Times New Roman" w:eastAsia="Times New Roman" w:cs="Times New Roman"/>
          <w:color w:val="000000"/>
          <w:sz w:val="24"/>
        </w:rPr>
        <w:t xml:space="preserve">Because the deterministic match score is computed outside the LLM response, the model cannot change the final score returned by the backend. This preserves comparability across regenerations and makes the fully-heuristic mode of Chapter 4 a substitution of the scoring path rather than a separate response contract.</w:t>
      </w:r>
    </w:p>
    <w:p>
      <w:r>
        <w:br w:type="page"/>
      </w:r>
    </w:p>
    <w:bookmarkEnd w:id="72"/>
    <w:bookmarkEnd w:id="73"/>
    <w:bookmarkStart w:id="76" w:name="career-path"/>
    <w:p>
      <w:pPr>
        <w:pStyle w:val="Heading2"/>
        <w:spacing w:line="312" w:lineRule="auto" w:after="80"/>
        <w:ind w:firstLine="283"/>
        <w:jc w:val="both"/>
      </w:pPr>
      <w:r>
        <w:rPr>
          <w:rFonts w:ascii="Times New Roman" w:hAnsi="Times New Roman" w:eastAsia="Times New Roman" w:cs="Times New Roman"/>
          <w:color w:val="000000"/>
          <w:sz w:val="24"/>
        </w:rPr>
        <w:t xml:space="preserve">3.4 Career Path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4" w:name="heuristic-prepass-2"/>
    <w:p>
      <w:pPr>
        <w:pStyle w:val="Heading3"/>
        <w:spacing w:line="312" w:lineRule="auto" w:after="80"/>
        <w:ind w:firstLine="283"/>
        <w:jc w:val="both"/>
      </w:pPr>
      <w:r>
        <w:rPr>
          <w:rFonts w:ascii="Times New Roman" w:hAnsi="Times New Roman" w:eastAsia="Times New Roman" w:cs="Times New Roman"/>
          <w:color w:val="000000"/>
          <w:sz w:val="24"/>
        </w:rPr>
        <w:t xml:space="preserve">3.4.1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312" w:lineRule="auto" w:after="8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spacing w:line="312" w:lineRule="auto" w:after="8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spacing w:line="312" w:lineRule="auto" w:after="80"/>
        <w:ind w:firstLine="283"/>
        <w:jc w:val="both"/>
      </w:pPr>
      <w:r>
        <w:rPr>
          <w:rFonts w:ascii="Times New Roman" w:hAnsi="Times New Roman" w:eastAsia="Times New Roman" w:cs="Times New Roman"/>
          <w:color w:val="000000"/>
          <w:sz w:val="24"/>
        </w:rPr>
        <w:t xml:space="preserve">3.5 Cover Letter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spacing w:line="312" w:lineRule="auto" w:after="8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7"/>
    <w:bookmarkEnd w:id="78"/>
    <w:bookmarkStart w:id="80" w:name="interview-qa"/>
    <w:p>
      <w:pPr>
        <w:pStyle w:val="Heading2"/>
        <w:spacing w:line="312" w:lineRule="auto" w:after="80"/>
        <w:ind w:firstLine="283"/>
        <w:jc w:val="both"/>
      </w:pPr>
      <w:r>
        <w:rPr>
          <w:rFonts w:ascii="Times New Roman" w:hAnsi="Times New Roman" w:eastAsia="Times New Roman" w:cs="Times New Roman"/>
          <w:color w:val="000000"/>
          <w:sz w:val="24"/>
        </w:rPr>
        <w:t xml:space="preserve">3.6 Interview Q&amp;A</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9" w:name="prompt-and-post-processing-4"/>
    <w:p>
      <w:pPr>
        <w:pStyle w:val="Heading3"/>
        <w:spacing w:line="312" w:lineRule="auto" w:after="8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312" w:lineRule="auto" w:after="8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Gemini and may override the default model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This is the only place in the system where a model override is wired, because practice feedback can be invoked repeatedly during a single user session.</w:t>
      </w:r>
    </w:p>
    <w:bookmarkEnd w:id="79"/>
    <w:bookmarkEnd w:id="80"/>
    <w:bookmarkStart w:id="82" w:name="portfolio-planner"/>
    <w:p>
      <w:pPr>
        <w:pStyle w:val="Heading2"/>
        <w:spacing w:line="312" w:lineRule="auto" w:after="80"/>
        <w:ind w:firstLine="283"/>
        <w:jc w:val="both"/>
      </w:pPr>
      <w:r>
        <w:rPr>
          <w:rFonts w:ascii="Times New Roman" w:hAnsi="Times New Roman" w:eastAsia="Times New Roman" w:cs="Times New Roman"/>
          <w:color w:val="000000"/>
          <w:sz w:val="24"/>
        </w:rPr>
        <w:t xml:space="preserve">3.7 Portfolio Planner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spacing w:line="312" w:lineRule="auto" w:after="8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spacing w:line="312" w:lineRule="auto" w:after="8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spacing w:line="312" w:lineRule="auto" w:after="8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During development-phase traffic the analytical tools (Resume Analyzer, Job Match) rarely surfaced the heuristic-only fallback path; the retry policy in Section 3.1.1 absorbed observed transient failures before they reached fallback. The generative tools (Cover Letter, Interview Q&amp;A, Career Path, Portfolio) cannot fall back, so their user-visible failure mode is a structured retry prompt rather than a fabricated artefact.</w:t>
      </w:r>
    </w:p>
    <w:p>
      <w:pPr>
        <w:pStyle w:val="BodyText"/>
        <w:spacing w:line="312" w:lineRule="auto" w:after="8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spacing w:line="312" w:lineRule="auto" w:after="80"/>
        <w:ind w:firstLine="283"/>
        <w:jc w:val="both"/>
      </w:pPr>
      <w:r>
        <w:rPr>
          <w:rFonts w:ascii="Times New Roman" w:hAnsi="Times New Roman" w:eastAsia="Times New Roman" w:cs="Times New Roman"/>
          <w:color w:val="000000"/>
          <w:sz w:val="24"/>
        </w:rPr>
        <w:t xml:space="preserve">Chapter 4 — Conducted studies and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reports the empirical comparison between the two analytical scoring modes implemented in the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(40% heuristic, 60% language-model output)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90" w:name="methodology"/>
    <w:p>
      <w:pPr>
        <w:pStyle w:val="Heading2"/>
        <w:spacing w:line="312" w:lineRule="auto" w:after="80"/>
        <w:ind w:firstLine="283"/>
        <w:jc w:val="both"/>
      </w:pPr>
      <w:r>
        <w:rPr>
          <w:rFonts w:ascii="Times New Roman" w:hAnsi="Times New Roman" w:eastAsia="Times New Roman" w:cs="Times New Roman"/>
          <w:color w:val="000000"/>
          <w:sz w:val="24"/>
        </w:rPr>
        <w:t xml:space="preserve">4.1 Methodology</w:t>
      </w:r>
    </w:p>
    <w:bookmarkStart w:id="86" w:name="evaluation-dataset"/>
    <w:p>
      <w:pPr>
        <w:pStyle w:val="Heading3"/>
        <w:spacing w:line="312" w:lineRule="auto" w:after="80"/>
        <w:ind w:firstLine="283"/>
        <w:jc w:val="both"/>
      </w:pPr>
      <w:r>
        <w:rPr>
          <w:rFonts w:ascii="Times New Roman" w:hAnsi="Times New Roman" w:eastAsia="Times New Roman" w:cs="Times New Roman"/>
          <w:color w:val="000000"/>
          <w:sz w:val="24"/>
        </w:rPr>
        <w:t xml:space="preserve">4.1.1 Evaluation dataset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spacing w:line="312" w:lineRule="auto" w:after="80"/>
        <w:ind w:firstLine="283"/>
        <w:jc w:val="both"/>
      </w:pPr>
      <w:r>
        <w:rPr>
          <w:rFonts w:ascii="Times New Roman" w:hAnsi="Times New Roman" w:eastAsia="Times New Roman" w:cs="Times New Roman"/>
          <w:color w:val="000000"/>
          <w:sz w:val="24"/>
        </w:rPr>
        <w:t xml:space="preserve">The dataset is generated deterministically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Resume content is drawn from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job-description content from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after stop-words and role-domain skill terms are removed, the two pools are lexically disjoint.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spacing w:line="312" w:lineRule="auto" w:after="80"/>
        <w:ind w:firstLine="283"/>
        <w:jc w:val="both"/>
      </w:pPr>
      <w:r>
        <w:rPr>
          <w:rFonts w:ascii="Times New Roman" w:hAnsi="Times New Roman" w:eastAsia="Times New Roman" w:cs="Times New Roman"/>
          <w:color w:val="000000"/>
          <w:sz w:val="24"/>
        </w:rP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6"/>
    <w:bookmarkStart w:id="87" w:name="metrics"/>
    <w:p>
      <w:pPr>
        <w:pStyle w:val="Heading3"/>
        <w:spacing w:line="312" w:lineRule="auto" w:after="80"/>
        <w:ind w:firstLine="283"/>
        <w:jc w:val="both"/>
      </w:pPr>
      <w:r>
        <w:rPr>
          <w:rFonts w:ascii="Times New Roman" w:hAnsi="Times New Roman" w:eastAsia="Times New Roman" w:cs="Times New Roman"/>
          <w:color w:val="000000"/>
          <w:sz w:val="24"/>
        </w:rPr>
        <w:t xml:space="preserve">4.1.2 Metrics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metric families are computed per pair.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measures linear association between the two modes’ overall scores. Spearman ρ and Kendall τ measure rank agreement, which is more relevant when the score is used as a screening signal. The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is used as a practical interpretation anchor, not as a formal hypothesis or a literature-derived pass/fail threshold.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compares the overall score distributions and shows whether the heuristic shifts or compresses the score scale even when ranking is similar.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Wall-clock service time is measured from request entry into the tool service until a complete response is returned. Network round-trip time between browser and backend is excluded.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Marginal LLM-side cost is estimated in US dollars. Blended mode incurs Gemini 2.5 Flash token cost; fully heuristic mode incurs no third-party inference charge.</w:t>
      </w:r>
    </w:p>
    <w:bookmarkEnd w:id="87"/>
    <w:bookmarkStart w:id="88" w:name="controls"/>
    <w:p>
      <w:pPr>
        <w:pStyle w:val="Heading3"/>
        <w:spacing w:line="312" w:lineRule="auto" w:after="80"/>
        <w:ind w:firstLine="283"/>
        <w:jc w:val="both"/>
      </w:pPr>
      <w:r>
        <w:rPr>
          <w:rFonts w:ascii="Times New Roman" w:hAnsi="Times New Roman" w:eastAsia="Times New Roman" w:cs="Times New Roman"/>
          <w:color w:val="000000"/>
          <w:sz w:val="24"/>
        </w:rPr>
        <w:t xml:space="preserve">4.1.3 Controls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Three controls isolate the comparison.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prevents cache reuse from contaminating latency,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before importing the application settings so that both modes use the same strong heuristic implementation. The remaining experimental difference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The LLM client uses temperature 0.3, so sampling variance is not eliminated; it is bounded only by running one fixed dataset through one configured provider and by reporting the result as an implementation characterisation rather than a population estimate.</w:t>
      </w:r>
    </w:p>
    <w:bookmarkEnd w:id="88"/>
    <w:bookmarkStart w:id="89" w:name="threats-to-validity"/>
    <w:p>
      <w:pPr>
        <w:pStyle w:val="Heading3"/>
        <w:spacing w:line="312" w:lineRule="auto" w:after="80"/>
        <w:ind w:firstLine="283"/>
        <w:jc w:val="both"/>
      </w:pPr>
      <w:r>
        <w:rPr>
          <w:rFonts w:ascii="Times New Roman" w:hAnsi="Times New Roman" w:eastAsia="Times New Roman" w:cs="Times New Roman"/>
          <w:color w:val="000000"/>
          <w:sz w:val="24"/>
        </w:rPr>
        <w:t xml:space="preserve">4.1.4 Threats to validity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threats are tracked so that the interpretation of Section 4.3 remains bounded.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early synthesis script drew resume bullets and job-description responsibilities from the same per-track list. In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the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appeared on both sides, and the leakage-version keyword-axis correlation was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The regenerated dataset separates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reports mean per-pair content-token overlap falling from 11.82 to 0.44, a 27× reduction, with zero pairs above the &gt;3-token threshold instead of 97. The results below use the post-mitigation dataset; leakage artefacts remain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T2 (Self-correlation between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Since blended score = 0.40 × heuristic + 0.60 × LLM, the headline blended-versus-heuristic correlation includes a structural floor. Because the backend stores the blended and heuristic scores produced by this formula, the LLM-only score is recoverable without new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this baseline.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observations are not independent because each resume appears in three or four pairs and each job description in five pairs. Pearson confidence intervals are therefore computed by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T4 (Post-hoc heuristic design, DISCLOSED).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spacing w:line="312" w:lineRule="auto" w:after="80"/>
        <w:ind w:firstLine="283"/>
        <w:jc w:val="both"/>
      </w:pPr>
      <w:r>
        <w:rPr>
          <w:rFonts w:ascii="Times New Roman" w:hAnsi="Times New Roman" w:eastAsia="Times New Roman" w:cs="Times New Roman"/>
          <w:color w:val="000000"/>
          <w:sz w:val="24"/>
        </w:rPr>
        <w:t xml:space="preserve">T1, T2, and T3 are mitigated by regeneration, LLM-only decomposition, and clustered intervals. T4 remains a disclosed limitation.</w:t>
      </w:r>
    </w:p>
    <w:p>
      <w:pPr>
        <w:pStyle w:val="BodyText"/>
        <w:spacing w:line="312" w:lineRule="auto" w:after="80"/>
        <w:ind w:firstLine="283"/>
        <w:jc w:val="both"/>
      </w:pPr>
      <w:r>
        <w:rPr>
          <w:rFonts w:ascii="Times New Roman" w:hAnsi="Times New Roman" w:eastAsia="Times New Roman" w:cs="Times New Roman"/>
          <w:color w:val="000000"/>
          <w:sz w:val="24"/>
        </w:rPr>
        <w:t xml:space="preserve">In Cook-Campbell terms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foregrounded as the most consequential next step before any generalisation beyond the synthetic benchmark.</w:t>
      </w:r>
    </w:p>
    <w:p>
      <w:pPr>
        <w:pStyle w:val="BodyText"/>
        <w:spacing w:line="312" w:lineRule="auto" w:after="80"/>
        <w:ind w:firstLine="283"/>
        <w:jc w:val="both"/>
      </w:pPr>
      <w:r>
        <w:rPr>
          <w:rFonts w:ascii="Times New Roman" w:hAnsi="Times New Roman" w:eastAsia="Times New Roman" w:cs="Times New Roman"/>
          <w:color w:val="000000"/>
          <w:sz w:val="24"/>
        </w:rP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9"/>
    <w:bookmarkEnd w:id="90"/>
    <w:bookmarkStart w:id="100" w:name="the-strong-heuristic-v2"/>
    <w:p>
      <w:pPr>
        <w:pStyle w:val="Heading2"/>
        <w:spacing w:line="312" w:lineRule="auto" w:after="8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1" w:name="tfidfweighted-keyword-evidence"/>
    <w:p>
      <w:pPr>
        <w:pStyle w:val="Heading3"/>
        <w:spacing w:line="312" w:lineRule="auto" w:after="8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v2 heuristic weights keyword evidence by inverse document frequency, so rare technical terms contribute more than common words [5, 6]. Keyword alignment is computed as</w:t>
      </w:r>
    </w:p>
    <w:p>
      <w:pPr>
        <w:pStyle w:val="BodyText"/>
        <w:spacing w:line="312" w:lineRule="auto" w:after="8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The final keyword-axis score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0.7 × weighted_keyword_score + 0.3 × min(100, BM25 × 4)</w:t>
      </w:r>
      <w:r>
        <w:rPr>
          <w:rFonts w:ascii="Times New Roman" w:hAnsi="Times New Roman" w:eastAsia="Times New Roman" w:cs="Times New Roman"/>
          <w:color w:val="000000"/>
          <w:sz w:val="24"/>
        </w:rPr>
        <w:t xml:space="preserve">, clamped to [0, 100]. Production uses a bundled ESCO-derived baseline IDF; the evaluation harness recomputes IDF from the job descriptions in the benchmark.</w:t>
      </w:r>
    </w:p>
    <w:bookmarkEnd w:id="91"/>
    <w:bookmarkStart w:id="92" w:name="esco-aligned-skill-normalisation"/>
    <w:p>
      <w:pPr>
        <w:pStyle w:val="Heading3"/>
        <w:spacing w:line="312" w:lineRule="auto" w:after="8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heuristic normalises surface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one canonical ESCO label [8, 9, 12]. The bundled JSON contains 107 canonical digital and creative-industry skill entries and is structured for expansion to broader production coverage. Resume and job-description text are scanned for surface variants, mapped to canonical labels, and intersected.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2"/>
    <w:bookmarkStart w:id="93" w:name="fuzzy-matching"/>
    <w:p>
      <w:pPr>
        <w:pStyle w:val="Heading3"/>
        <w:spacing w:line="312" w:lineRule="auto" w:after="80"/>
        <w:ind w:firstLine="283"/>
        <w:jc w:val="both"/>
      </w:pPr>
      <w:r>
        <w:rPr>
          <w:rFonts w:ascii="Times New Roman" w:hAnsi="Times New Roman" w:eastAsia="Times New Roman" w:cs="Times New Roman"/>
          <w:color w:val="000000"/>
          <w:sz w:val="24"/>
        </w:rPr>
        <w:t xml:space="preserve">4.2.3 Fuzzy matching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skills or keywords outside the bundled ESCO subset, v2 applies a normalised string-similarity pass related to edit-distance matching [7] using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A job-description keyword is counted when it appears exactly, maps through ESCO, or reaches similarity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against a resume candidate phrase. The threshold admits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while rejecting unrelated tokens.</w:t>
      </w:r>
    </w:p>
    <w:bookmarkEnd w:id="93"/>
    <w:bookmarkStart w:id="94" w:name="section-weighted-features"/>
    <w:p>
      <w:pPr>
        <w:pStyle w:val="Heading3"/>
        <w:spacing w:line="312" w:lineRule="auto" w:after="8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Skill evidence is weighted by resume section because a skill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carries a different signal from the same word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 project description [18]. Matches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 1.0,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0.3. The weighted match total is normalised against the maximum possible weighted match.</w:t>
      </w:r>
    </w:p>
    <w:bookmarkEnd w:id="94"/>
    <w:bookmarkStart w:id="95" w:name="quantification-regex"/>
    <w:p>
      <w:pPr>
        <w:pStyle w:val="Heading3"/>
        <w:spacing w:line="312" w:lineRule="auto" w:after="80"/>
        <w:ind w:firstLine="283"/>
        <w:jc w:val="both"/>
      </w:pPr>
      <w:r>
        <w:rPr>
          <w:rFonts w:ascii="Times New Roman" w:hAnsi="Times New Roman" w:eastAsia="Times New Roman" w:cs="Times New Roman"/>
          <w:color w:val="000000"/>
          <w:sz w:val="24"/>
        </w:rPr>
        <w:t xml:space="preserve">4.2.5 Quantification regex</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5"/>
    <w:bookmarkStart w:id="96" w:name="action-verb-scoring"/>
    <w:p>
      <w:pPr>
        <w:pStyle w:val="Heading3"/>
        <w:spacing w:line="312" w:lineRule="auto" w:after="80"/>
        <w:ind w:firstLine="283"/>
        <w:jc w:val="both"/>
      </w:pPr>
      <w:r>
        <w:rPr>
          <w:rFonts w:ascii="Times New Roman" w:hAnsi="Times New Roman" w:eastAsia="Times New Roman" w:cs="Times New Roman"/>
          <w:color w:val="000000"/>
          <w:sz w:val="24"/>
        </w:rPr>
        <w:t xml:space="preserve">4.2.6 Action-verb scoring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clarity sub-score counts the fraction of bullets whose leading token belongs to a curated action-verb dictionary of approximately 190 entries compiled from university career-services resources. Action verbs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treated as stronger ownership evidence than passive or filler openings.</w:t>
      </w:r>
    </w:p>
    <w:bookmarkEnd w:id="96"/>
    <w:bookmarkStart w:id="97" w:name="score-combination"/>
    <w:p>
      <w:pPr>
        <w:pStyle w:val="Heading3"/>
        <w:spacing w:line="312" w:lineRule="auto" w:after="80"/>
        <w:ind w:firstLine="283"/>
        <w:jc w:val="both"/>
      </w:pPr>
      <w:r>
        <w:rPr>
          <w:rFonts w:ascii="Times New Roman" w:hAnsi="Times New Roman" w:eastAsia="Times New Roman" w:cs="Times New Roman"/>
          <w:color w:val="000000"/>
          <w:sz w:val="24"/>
        </w:rPr>
        <w:t xml:space="preserve">4.2.7 Score combination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as a weighted mean: 0.30, 0.25, 0.15, 0.15, and 0.15. These weights are author-selected rather than survey-derived. The blended-mode 0.40/0.60 split is also an engineering choice rather than an optimised parameter: it keeps the default mode language-model-led while retaining a deterministic scoring floor. Section 4.3.5 reports an equal-weight sensitivity check for the heuristic sub-score weights.</w:t>
      </w:r>
    </w:p>
    <w:bookmarkEnd w:id="97"/>
    <w:bookmarkStart w:id="98" w:name="implementation-notes"/>
    <w:p>
      <w:pPr>
        <w:pStyle w:val="Heading3"/>
        <w:spacing w:line="312" w:lineRule="auto" w:after="80"/>
        <w:ind w:firstLine="283"/>
        <w:jc w:val="both"/>
      </w:pPr>
      <w:r>
        <w:rPr>
          <w:rFonts w:ascii="Times New Roman" w:hAnsi="Times New Roman" w:eastAsia="Times New Roman" w:cs="Times New Roman"/>
          <w:color w:val="000000"/>
          <w:sz w:val="24"/>
        </w:rPr>
        <w:t xml:space="preserve">4.2.8 Implementation notes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strong heuristic v2 lives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alongside the lightweight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selects the strong implementation for the analytical tools and is the default for the experimental run reported here.</w:t>
      </w:r>
    </w:p>
    <w:bookmarkEnd w:id="98"/>
    <w:bookmarkStart w:id="99" w:name="the-administrative-toggle"/>
    <w:p>
      <w:pPr>
        <w:pStyle w:val="Heading3"/>
        <w:spacing w:line="312" w:lineRule="auto" w:after="8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Runtime switchability is provided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which accepts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An in-memory override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updated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by analytical services on every request. The override supports live demonstration during the diploma defence but resets on process restart, leaving the environment variable as the configuration of record.</w:t>
      </w:r>
    </w:p>
    <w:p>
      <w:r>
        <w:br w:type="page"/>
      </w:r>
    </w:p>
    <w:bookmarkEnd w:id="99"/>
    <w:bookmarkEnd w:id="100"/>
    <w:bookmarkStart w:id="112" w:name="results"/>
    <w:p>
      <w:pPr>
        <w:pStyle w:val="Heading2"/>
        <w:spacing w:line="312" w:lineRule="auto" w:after="80"/>
        <w:ind w:firstLine="283"/>
        <w:jc w:val="both"/>
      </w:pPr>
      <w:r>
        <w:rPr>
          <w:rFonts w:ascii="Times New Roman" w:hAnsi="Times New Roman" w:eastAsia="Times New Roman" w:cs="Times New Roman"/>
          <w:color w:val="000000"/>
          <w:sz w:val="24"/>
        </w:rPr>
        <w:t xml:space="preserve">4.3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Both modes succeeded on every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generated the tables below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w:t>
      </w:r>
    </w:p>
    <w:bookmarkStart w:id="101" w:name="score-agreement"/>
    <w:p>
      <w:pPr>
        <w:pStyle w:val="Heading3"/>
        <w:spacing w:line="312" w:lineRule="auto" w:after="80"/>
        <w:ind w:firstLine="283"/>
        <w:jc w:val="both"/>
      </w:pPr>
      <w:r>
        <w:rPr>
          <w:rFonts w:ascii="Times New Roman" w:hAnsi="Times New Roman" w:eastAsia="Times New Roman" w:cs="Times New Roman"/>
          <w:color w:val="000000"/>
          <w:sz w:val="24"/>
        </w:rPr>
        <w:t xml:space="preserve">4.3.1 Score agreement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post-mitigation agreement is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0.836</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[95% CI 0.762, 0.896], Spearman ρ =</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0.847</w:t>
      </w:r>
      <w:r>
        <w:rPr>
          <w:rFonts w:ascii="Times New Roman" w:hAnsi="Times New Roman" w:eastAsia="Times New Roman" w:cs="Times New Roman"/>
          <w:color w:val="000000"/>
          <w:sz w:val="24"/>
        </w:rPr>
        <w:t xml:space="preserve">, and Kendall τ =</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0.669</w:t>
      </w:r>
      <w:r>
        <w:rPr>
          <w:rFonts w:ascii="Times New Roman" w:hAnsi="Times New Roman" w:eastAsia="Times New Roman" w:cs="Times New Roman"/>
          <w:color w:val="000000"/>
          <w:sz w:val="24"/>
        </w:rPr>
        <w:t xml:space="preserve">. The archived leakage-version run was weaker: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0.727 [95% CI 0.609, 0.814], Spearman ρ = 0.708, and Kendall τ = 0.526.</w:t>
      </w:r>
    </w:p>
    <w:p>
      <w:pPr>
        <w:pStyle w:val="BodyText"/>
        <w:spacing w:line="312" w:lineRule="auto" w:after="80"/>
        <w:ind w:firstLine="283"/>
        <w:jc w:val="both"/>
      </w:pPr>
      <w:r>
        <w:rPr>
          <w:rFonts w:ascii="Times New Roman" w:hAnsi="Times New Roman" w:eastAsia="Times New Roman" w:cs="Times New Roman"/>
          <w:color w:val="000000"/>
          <w:sz w:val="24"/>
        </w:rPr>
        <w:t xml:space="preserve">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higher than the leakage-version value even though leakage was expected to inflate keyword overlap. The per-sub-score table explains the result: lexical leakage added noise to some non-keyword axes, while the disjoint construction preserved legitimate canonical skill overlap.</w:t>
      </w:r>
    </w:p>
    <w:p>
      <w:pPr>
        <w:pStyle w:val="BodyText"/>
        <w:spacing w:line="312" w:lineRule="auto" w:after="80"/>
        <w:ind w:firstLine="283"/>
        <w:jc w:val="both"/>
      </w:pPr>
      <w:r>
        <w:rPr>
          <w:rFonts w:ascii="Times New Roman" w:hAnsi="Times New Roman" w:eastAsia="Times New Roman" w:cs="Times New Roman"/>
          <w:color w:val="000000"/>
          <w:sz w:val="24"/>
        </w:rPr>
        <w:t xml:space="preserve">The post-mitigation sub-score correlations are:</w:t>
      </w:r>
    </w:p>
    <w:p>
      <w:pPr>
        <w:pStyle w:val="Compact"/>
        <w:numPr>
          <w:ilvl w:val="0"/>
          <w:numId w:val="1004"/>
        </w:numPr>
        <w:spacing w:line="312" w:lineRule="auto" w:after="8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Spearman ρ = 0.946, Kendall τ = 0.845; leakage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w:t>
      </w:r>
    </w:p>
    <w:p>
      <w:pPr>
        <w:pStyle w:val="Compact"/>
        <w:numPr>
          <w:ilvl w:val="0"/>
          <w:numId w:val="1004"/>
        </w:numPr>
        <w:spacing w:line="312" w:lineRule="auto" w:after="80"/>
        <w:ind w:firstLine="283"/>
        <w:jc w:val="both"/>
      </w:pPr>
      <w:r>
        <w:rPr>
          <w:rFonts w:ascii="Times New Roman" w:hAnsi="Times New Roman" w:eastAsia="Times New Roman" w:cs="Times New Roman"/>
          <w:b/>
          <w:b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0.430, Spearman ρ = 0.447, Kendall τ = 0.332; leakage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0.561.</w:t>
      </w:r>
    </w:p>
    <w:p>
      <w:pPr>
        <w:pStyle w:val="Compact"/>
        <w:numPr>
          <w:ilvl w:val="0"/>
          <w:numId w:val="1004"/>
        </w:numPr>
        <w:spacing w:line="312" w:lineRule="auto" w:after="80"/>
        <w:ind w:firstLine="283"/>
        <w:jc w:val="both"/>
      </w:pPr>
      <w:r>
        <w:rPr>
          <w:rFonts w:ascii="Times New Roman" w:hAnsi="Times New Roman" w:eastAsia="Times New Roman" w:cs="Times New Roman"/>
          <w:b/>
          <w:bCs/>
          <w:color w:val="000000"/>
          <w:sz w:val="24"/>
        </w:rPr>
        <w:t xml:space="preserve">Structure: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0.830, Spearman ρ = 0.865, Kendall τ = 0.804; leakage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0.440.</w:t>
      </w:r>
    </w:p>
    <w:p>
      <w:pPr>
        <w:pStyle w:val="Compact"/>
        <w:numPr>
          <w:ilvl w:val="0"/>
          <w:numId w:val="1004"/>
        </w:numPr>
        <w:spacing w:line="312" w:lineRule="auto" w:after="80"/>
        <w:ind w:firstLine="283"/>
        <w:jc w:val="both"/>
      </w:pPr>
      <w:r>
        <w:rPr>
          <w:rFonts w:ascii="Times New Roman" w:hAnsi="Times New Roman" w:eastAsia="Times New Roman" w:cs="Times New Roman"/>
          <w:b/>
          <w:b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Spearman ρ = 0.373, Kendall τ = 0.289; leakage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0.475.</w:t>
      </w:r>
    </w:p>
    <w:p>
      <w:pPr>
        <w:pStyle w:val="Compact"/>
        <w:numPr>
          <w:ilvl w:val="0"/>
          <w:numId w:val="1004"/>
        </w:numPr>
        <w:spacing w:line="312" w:lineRule="auto" w:after="80"/>
        <w:ind w:firstLine="283"/>
        <w:jc w:val="both"/>
      </w:pPr>
      <w:r>
        <w:rPr>
          <w:rFonts w:ascii="Times New Roman" w:hAnsi="Times New Roman" w:eastAsia="Times New Roman" w:cs="Times New Roman"/>
          <w:b/>
          <w:b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0.756, Spearman ρ = 0.793, Kendall τ = 0.689; leakage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0.691.</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spacing w:line="312" w:lineRule="auto" w:after="80"/>
        <w:ind w:firstLine="283"/>
        <w:jc w:val="both"/>
      </w:pPr>
      <w:r>
        <w:rPr>
          <w:rFonts w:ascii="Times New Roman" w:hAnsi="Times New Roman" w:eastAsia="Times New Roman" w:cs="Times New Roman"/>
          <w:color w:val="000000"/>
          <w:sz w:val="24"/>
        </w:rP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1"/>
    <w:bookmarkStart w:id="102" w:name="llm-only-baseline-t2-mitigation"/>
    <w:p>
      <w:pPr>
        <w:pStyle w:val="Heading3"/>
        <w:spacing w:line="312" w:lineRule="auto" w:after="8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locked-payload design makes the LLM-only score recoverable as:</w:t>
      </w:r>
    </w:p>
    <w:p>
      <w:pPr>
        <w:pStyle w:val="BodyText"/>
        <w:spacing w:line="312" w:lineRule="auto" w:after="80"/>
        <w:ind w:firstLine="283"/>
        <w:jc w:val="both"/>
      </w:pPr>
      <w:r>
        <w:rPr>
          <w:rFonts w:ascii="Times New Roman" w:hAnsi="Times New Roman" w:eastAsia="Times New Roman" w:cs="Times New Roman"/>
          <w:color w:val="000000"/>
          <w:sz w:val="24"/>
        </w:rPr>
        <w:t xml:space="preserve">LLM-only = (blended − 0.4 × heuristic) / 0.6</w:t>
      </w:r>
    </w:p>
    <w:p>
      <w:pPr>
        <w:pStyle w:val="BodyText"/>
        <w:spacing w:line="312" w:lineRule="auto" w:after="80"/>
        <w:ind w:firstLine="283"/>
        <w:jc w:val="both"/>
      </w:pPr>
      <w:r>
        <w:rPr>
          <w:rFonts w:ascii="Times New Roman" w:hAnsi="Times New Roman" w:eastAsia="Times New Roman" w:cs="Times New Roman"/>
          <w:color w:val="000000"/>
          <w:sz w:val="24"/>
        </w:rPr>
        <w:t xml:space="preserve">The three pairwise correlations are:</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Blended vs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0.836</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[0.762, 0.896], Spearman ρ = 0.847.</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LLM-only vs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0.627</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[0.476, 0.765], Spearman ρ = 0.596.</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Blended vs LLM-only: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0.952 [0.923, 0.973].</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spacing w:line="312" w:lineRule="auto" w:after="80"/>
        <w:ind w:firstLine="283"/>
        <w:jc w:val="both"/>
      </w:pPr>
      <w:r>
        <w:rPr>
          <w:rFonts w:ascii="Times New Roman" w:hAnsi="Times New Roman" w:eastAsia="Times New Roman" w:cs="Times New Roman"/>
          <w:color w:val="000000"/>
          <w:sz w:val="24"/>
        </w:rP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2"/>
    <w:bookmarkStart w:id="106" w:name="score-distribution"/>
    <w:p>
      <w:pPr>
        <w:pStyle w:val="Heading3"/>
        <w:spacing w:line="312" w:lineRule="auto" w:after="80"/>
        <w:ind w:firstLine="283"/>
        <w:jc w:val="both"/>
      </w:pPr>
      <w:r>
        <w:rPr>
          <w:rFonts w:ascii="Times New Roman" w:hAnsi="Times New Roman" w:eastAsia="Times New Roman" w:cs="Times New Roman"/>
          <w:color w:val="000000"/>
          <w:sz w:val="24"/>
        </w:rPr>
        <w:t xml:space="preserve">4.3.2 Score distribution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Across all 100 pairs, blended mode has mean 71.84, standard deviation 7.19, median 73.00, 5th percentile 58.00, and 95th percentile 81.00. Heuristic v2 mode has mean 72.66, standard deviation 7.08, median 74.50, 5th percentile 59.00, and 95th percentile 82.00. The two distributions have KS distance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0.100</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color w:val="000000"/>
          <w:sz w:val="24"/>
        </w:rPr>
        <w:t xml:space="preserve">The means differ by 0.82 points and the medians by 1.50 points, so the aggregate score distributions are close. The KS distance of 0.100 is half the leakage-version KS distance of 0.200. Figure 4.1 visualises the two distributions.</w:t>
      </w:r>
    </w:p>
    <w:p>
      <w:pPr>
        <w:pStyle w:val="BodyText"/>
        <w:keepNext/>
        <w:spacing w:before="60" w:after="40"/>
        <w:jc w:val="center"/>
      </w:pPr>
      <w:r>
        <w:drawing>
          <wp:inline>
            <wp:extent cx="4031999" cy="2851798"/>
            <wp:effectExtent b="0" l="0" r="0" t="0"/>
            <wp:docPr descr=""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4031999" cy="28517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72.66, median 74.5). Bottom: blended mode (mean 71.84, median 73.0). The dashed vertical line marks the mean and the dotted vertical line marks the median in each panel.</w:t>
      </w:r>
    </w:p>
    <w:p>
      <w:r>
        <w:br w:type="page"/>
      </w:r>
    </w:p>
    <w:bookmarkEnd w:id="106"/>
    <w:bookmarkStart w:id="107" w:name="latency"/>
    <w:p>
      <w:pPr>
        <w:pStyle w:val="Heading3"/>
        <w:spacing w:line="312" w:lineRule="auto" w:after="80"/>
        <w:ind w:firstLine="283"/>
        <w:jc w:val="both"/>
      </w:pPr>
      <w:r>
        <w:rPr>
          <w:rFonts w:ascii="Times New Roman" w:hAnsi="Times New Roman" w:eastAsia="Times New Roman" w:cs="Times New Roman"/>
          <w:color w:val="000000"/>
          <w:sz w:val="24"/>
        </w:rPr>
        <w:t xml:space="preserve">4.3.3 Latency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Service-side latency for one tool invocation is:</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Median: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blended 18 232.1 ms, heuristic v2 25.5 ms, ratio 714×.</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95th percentile: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blended 24 713.7 ms, heuristic v2 32.1 ms, ratio 770×.</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Maximum observed: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blended 65 926.6 ms, heuristic v2 34.1 ms, ratio 1 933×.</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Blended latency is dominated by Gemini structured-output inference over approximately 608 input tokens plus prompt overhead and 1 118 output tokens. The maximum of 65 926.6 ms reflects one retry-after-timeout case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w:t>
      </w:r>
    </w:p>
    <w:bookmarkEnd w:id="107"/>
    <w:bookmarkStart w:id="108" w:name="per-call-cost"/>
    <w:p>
      <w:pPr>
        <w:pStyle w:val="Heading3"/>
        <w:spacing w:line="312" w:lineRule="auto" w:after="80"/>
        <w:ind w:firstLine="283"/>
        <w:jc w:val="both"/>
      </w:pPr>
      <w:r>
        <w:rPr>
          <w:rFonts w:ascii="Times New Roman" w:hAnsi="Times New Roman" w:eastAsia="Times New Roman" w:cs="Times New Roman"/>
          <w:color w:val="000000"/>
          <w:sz w:val="24"/>
        </w:rPr>
        <w:t xml:space="preserve">4.3.4 Per-call cost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Cost uses the Vertex AI Gemini 2.5 Flash rates in effect at measurement time: input $0.075 / 1 M tokens and output $0.30 / 1 M tokens.</w:t>
      </w:r>
    </w:p>
    <w:p>
      <w:pPr>
        <w:pStyle w:val="BodyText"/>
        <w:spacing w:line="312" w:lineRule="auto" w:after="80"/>
        <w:ind w:firstLine="283"/>
        <w:jc w:val="both"/>
      </w:pPr>
      <w:r>
        <w:rPr>
          <w:rFonts w:ascii="Times New Roman" w:hAnsi="Times New Roman" w:eastAsia="Times New Roman" w:cs="Times New Roman"/>
          <w:color w:val="000000"/>
          <w:sz w:val="24"/>
        </w:rPr>
        <w:t xml:space="preserve">The blended run used an estimated 608 input tokens and 1 118 output tokens per call on average. This gives an average per-call LLM-side cost of $0.00038 and a 95th-percentile per-call estimate of $0.00042. At 1 000 analyses per day, the projected monthly blended-mode bill is $11.43. Heuristic v2 has zero LLM-side token cost in all three rows.</w:t>
      </w:r>
    </w:p>
    <w:p>
      <w:pPr>
        <w:pStyle w:val="BodyText"/>
        <w:spacing w:line="312" w:lineRule="auto" w:after="80"/>
        <w:ind w:firstLine="283"/>
        <w:jc w:val="both"/>
      </w:pPr>
      <w:r>
        <w:rPr>
          <w:rFonts w:ascii="Times New Roman" w:hAnsi="Times New Roman" w:eastAsia="Times New Roman" w:cs="Times New Roman"/>
          <w:color w:val="000000"/>
          <w:sz w:val="24"/>
        </w:rPr>
        <w:t xml:space="preserve">The estimator follows the ~4 characters per token rule and does not include all server-side prompt overhead, so the claim is order-of-magnitude rather than billing-grade. At 1 000 analyses per day, blended mode projects to roughly $11.43 per month in LLM-side spend on this dataset; heuristic mode is free on the LLM side.</w:t>
      </w:r>
    </w:p>
    <w:p>
      <w:pPr>
        <w:pStyle w:val="BodyText"/>
        <w:spacing w:line="312" w:lineRule="auto" w:after="80"/>
        <w:ind w:firstLine="283"/>
        <w:jc w:val="both"/>
      </w:pPr>
      <w:r>
        <w:rPr>
          <w:rFonts w:ascii="Times New Roman" w:hAnsi="Times New Roman" w:eastAsia="Times New Roman" w:cs="Times New Roman"/>
          <w:color w:val="000000"/>
          <w:sz w:val="24"/>
        </w:rP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8"/>
    <w:bookmarkStart w:id="109" w:name="Xc5b9496d48d597ec2064019f244ae133cf5ccd1"/>
    <w:p>
      <w:pPr>
        <w:pStyle w:val="Heading3"/>
        <w:spacing w:line="312" w:lineRule="auto" w:after="8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author-selected weights from Section 4.2.7 are compared with equal weights recomputed offline from the same per-sub-score breakdown.</w:t>
      </w:r>
    </w:p>
    <w:p>
      <w:pPr>
        <w:pStyle w:val="BodyText"/>
        <w:spacing w:line="312" w:lineRule="auto" w:after="80"/>
        <w:ind w:firstLine="283"/>
        <w:jc w:val="both"/>
      </w:pPr>
      <w:r>
        <w:rPr>
          <w:rFonts w:ascii="Times New Roman" w:hAnsi="Times New Roman" w:eastAsia="Times New Roman" w:cs="Times New Roman"/>
          <w:color w:val="000000"/>
          <w:sz w:val="24"/>
        </w:rPr>
        <w:t xml:space="preserve">The author-selected 0.30/0.25/0.15/0.15/0.15 weighting gives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and Spearman ρ = 0.847. Equal 0.20 weighting across all five sub-scores gives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0.813 and Spearman ρ = 0.823.</w:t>
      </w:r>
    </w:p>
    <w:p>
      <w:pPr>
        <w:pStyle w:val="BodyText"/>
        <w:spacing w:line="312" w:lineRule="auto" w:after="80"/>
        <w:ind w:firstLine="283"/>
        <w:jc w:val="both"/>
      </w:pPr>
      <w:r>
        <w:rPr>
          <w:rFonts w:ascii="Times New Roman" w:hAnsi="Times New Roman" w:eastAsia="Times New Roman" w:cs="Times New Roman"/>
          <w:color w:val="000000"/>
          <w:sz w:val="24"/>
        </w:rPr>
        <w:t xml:space="preserve">Pearson moves by Δ = −0.023 and Spearman by Δ = −0.024 after rounding to three decimals. Both remain above the practical 0.7 interpretation anchor, so the result is not dependent on the exact heuristic sub-score weighting choice.</w:t>
      </w:r>
    </w:p>
    <w:bookmarkEnd w:id="109"/>
    <w:bookmarkStart w:id="110" w:name="heuristic-enhancement-ablation-stage-h"/>
    <w:p>
      <w:pPr>
        <w:pStyle w:val="Heading3"/>
        <w:spacing w:line="312" w:lineRule="auto" w:after="8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Stage H tested whether targeted heuristic enhancements could close the LLM-only residual without adding a deployed neural dependency.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module added five gated signals: SBERT semantic fallback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p>
      <w:pPr>
        <w:pStyle w:val="BodyText"/>
        <w:spacing w:line="312" w:lineRule="auto" w:after="80"/>
        <w:ind w:firstLine="283"/>
        <w:jc w:val="both"/>
      </w:pPr>
      <w:r>
        <w:rPr>
          <w:rFonts w:ascii="Times New Roman" w:hAnsi="Times New Roman" w:eastAsia="Times New Roman" w:cs="Times New Roman"/>
          <w:color w:val="000000"/>
          <w:sz w:val="24"/>
        </w:rPr>
        <w:t xml:space="preserve">The Stage H variants produce the following Pearson correlations against LLM-only:</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heuristic-v2 (BM25 + ESCO + fuzzy):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0.627</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[0.470, 0.758], Spearman ρ = 0.596, baseline.</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heuristic-v3 with no Stage H features: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[0.470, 0.758], Spearman ρ = 0.596, Δ = +0.000.</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Bigram/trigram matching (H.4):</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0.629 [0.470, 0.758], Spearman ρ = 0.583, Δ = +0.002.</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SBERT semantic fallback (H.1):</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[0.452, 0.759], Spearman ρ = 0.573, Δ = −0.004.</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STAR detection (H.2):</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0.621 [0.463, 0.755], Spearman ρ = 0.596, Δ = −0.006.</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ESCO expansion 107 → 354 (H.5):</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0.617 [0.461, 0.752], Spearman ρ = 0.578, Δ = −0.009.</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Cross-axis coherence (H.3):</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0.605 [0.438, 0.746], Spearman ρ = 0.568, Δ = −0.022.</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heuristic-v3 full stack:</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[0.415, 0.735], Spearman ρ = 0.556, Δ = −0.036.</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result is a controlled null with small negative drift in the full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reproduces v2 exactly to three decimals, validating the module boundary. Single-feature deltas range from +0.002 to −0.022 and remain inside the cluster-bootstrap interval width. The full v3 stack falls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suggesting that small false-positive effects compound.</w:t>
      </w:r>
    </w:p>
    <w:p>
      <w:pPr>
        <w:pStyle w:val="BodyText"/>
        <w:spacing w:line="312" w:lineRule="auto" w:after="80"/>
        <w:ind w:firstLine="283"/>
        <w:jc w:val="both"/>
      </w:pPr>
      <w:r>
        <w:rPr>
          <w:rFonts w:ascii="Times New Roman" w:hAnsi="Times New Roman" w:eastAsia="Times New Roman" w:cs="Times New Roman"/>
          <w:color w:val="000000"/>
          <w:sz w:val="24"/>
        </w:rP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PyTorch and sentence-transformers stay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outside the production requirements.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10"/>
    <w:bookmarkStart w:id="111" w:name="Xcff2c0d3320ec1ce82f83c9b1d53013643ebe8f"/>
    <w:p>
      <w:pPr>
        <w:pStyle w:val="Heading3"/>
        <w:spacing w:line="312" w:lineRule="auto" w:after="8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ablation reuses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1"/>
    <w:bookmarkEnd w:id="112"/>
    <w:bookmarkStart w:id="113" w:name="discussion-and-limitations"/>
    <w:p>
      <w:pPr>
        <w:pStyle w:val="Heading2"/>
        <w:spacing w:line="312" w:lineRule="auto" w:after="8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Within this synthetic evaluation set, the fully heuristic mode recovers most of the blended mode’s aggregate discrimination: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median latency 25.5 ms rather than 18.2 s, and zero LLM-side marginal cost. After removing the structural 0.40 heuristic share in the blended formula, LLM-only versus heuristic agreement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The deterministic baseline is therefore strong enough to justify deployment as a fallback and runtime mode, while the blended mode remains valuable for qualitative explanations and clarity-sensitive judgement.</w:t>
      </w:r>
    </w:p>
    <w:p>
      <w:pPr>
        <w:pStyle w:val="BodyText"/>
        <w:spacing w:line="312" w:lineRule="auto" w:after="80"/>
        <w:ind w:firstLine="283"/>
        <w:jc w:val="both"/>
      </w:pPr>
      <w:r>
        <w:rPr>
          <w:rFonts w:ascii="Times New Roman" w:hAnsi="Times New Roman" w:eastAsia="Times New Roman" w:cs="Times New Roman"/>
          <w:color w:val="000000"/>
          <w:sz w:val="24"/>
        </w:rPr>
        <w:t xml:space="preserve">Four limitations constrain the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evaluation resumes and job descriptions are in English, although ESCO is multilingual.</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stylistic regularities may not generalise.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only.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benchmark has no demographic annotations and cannot support disparate-impact analysis; production deployment beyond thesis scope would require a fairness audit aligned with algorithmic-hiring literature [22, 23, 24].</w:t>
      </w:r>
    </w:p>
    <w:p>
      <w:pPr>
        <w:pStyle w:val="BodyText"/>
        <w:spacing w:line="312" w:lineRule="auto" w:after="80"/>
        <w:ind w:firstLine="283"/>
        <w:jc w:val="both"/>
      </w:pPr>
      <w:r>
        <w:rPr>
          <w:rFonts w:ascii="Times New Roman" w:hAnsi="Times New Roman" w:eastAsia="Times New Roman" w:cs="Times New Roman"/>
          <w:color w:val="000000"/>
          <w:sz w:val="24"/>
        </w:rP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spacing w:line="312" w:lineRule="auto" w:after="80"/>
        <w:ind w:firstLine="283"/>
        <w:jc w:val="both"/>
      </w:pPr>
      <w:r>
        <w:rPr>
          <w:rFonts w:ascii="Times New Roman" w:hAnsi="Times New Roman" w:eastAsia="Times New Roman" w:cs="Times New Roman"/>
          <w:color w:val="000000"/>
          <w:sz w:val="24"/>
        </w:rP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3"/>
    <w:bookmarkEnd w:id="114"/>
    <w:bookmarkStart w:id="118" w:name="chapter-5-conclusions"/>
    <w:p>
      <w:pPr>
        <w:pStyle w:val="Heading1"/>
        <w:spacing w:line="312" w:lineRule="auto" w:after="80"/>
        <w:ind w:firstLine="283"/>
        <w:jc w:val="both"/>
      </w:pPr>
      <w:r>
        <w:rPr>
          <w:rFonts w:ascii="Times New Roman" w:hAnsi="Times New Roman" w:eastAsia="Times New Roman" w:cs="Times New Roman"/>
          <w:color w:val="000000"/>
          <w:sz w:val="24"/>
        </w:rPr>
        <w:t xml:space="preserve">Chapter 5 — Conclusions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15" w:name="results-1"/>
    <w:p>
      <w:pPr>
        <w:pStyle w:val="Heading2"/>
        <w:spacing w:line="312" w:lineRule="auto" w:after="80"/>
        <w:ind w:firstLine="283"/>
        <w:jc w:val="both"/>
      </w:pPr>
      <w:r>
        <w:rPr>
          <w:rFonts w:ascii="Times New Roman" w:hAnsi="Times New Roman" w:eastAsia="Times New Roman" w:cs="Times New Roman"/>
          <w:color w:val="000000"/>
          <w:sz w:val="24"/>
        </w:rPr>
        <w:t xml:space="preserve">5.1 Results</w:t>
      </w:r>
    </w:p>
    <w:p>
      <w:pPr>
        <w:pStyle w:val="FirstParagraph"/>
        <w:spacing w:line="312" w:lineRule="auto" w:after="80"/>
        <w:ind w:firstLine="283"/>
        <w:jc w:val="both"/>
      </w:pPr>
      <w:r>
        <w:rPr>
          <w:rFonts w:ascii="Times New Roman" w:hAnsi="Times New Roman" w:eastAsia="Times New Roman" w:cs="Times New Roman"/>
          <w:b/>
          <w:bCs/>
          <w:color w:val="000000"/>
          <w:sz w:val="24"/>
        </w:rPr>
        <w:t xml:space="preserve">A deployed integrated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is deployed on Railway as a single application surface and integrates six tools: Resume Analyzer, Job Match, Career Path, Cover Letter, Interview Q&amp;A, and Portfolio Planner. Chapters 2 and 3 documented the architecture, the shared pipeline, and the tool implementations. The system supports authenticated accounts, guest demonstrations, persisted tool history, regeneration chains, and runtime switching between scoring modes.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A defendable heuristic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Chapter 4 introduced strong heuristic v2, a strictly non-neural scoring pipeline based on TF–IDF and BM25 [5, 6], ESCO-aligned skill normalisation [8, 9, 12], string-similarity fuzzy matching [7], section-weighted evidence [18], quantification detection, and action-verb scoring. The score-combination weights are author-selected but were checked through the sensitivity analysis in Section 4.3.5.</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A characterisation of the heuristic-versus-blended trade-off.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100 post-mitigation synthetic resume/job-description pairs,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and Spearman ρ = 0.847, while running much faster (median 25.5 ms versus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showing that the headline agreement includes the structural 0.40 heuristic component in the blended score. Agreement is strongest on keywords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and weakest on clarity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which explains why the heuristic is useful as a deterministic baseline while the blended mode remains valuable for prose-quality judgement.</w:t>
      </w:r>
    </w:p>
    <w:p>
      <w:pPr>
        <w:pStyle w:val="BodyText"/>
        <w:spacing w:line="312" w:lineRule="auto" w:after="80"/>
        <w:ind w:firstLine="283"/>
        <w:jc w:val="both"/>
      </w:pPr>
      <w:r>
        <w:rPr>
          <w:rFonts w:ascii="Times New Roman" w:hAnsi="Times New Roman" w:eastAsia="Times New Roman" w:cs="Times New Roman"/>
          <w:color w:val="000000"/>
          <w:sz w:val="24"/>
        </w:rPr>
        <w:t xml:space="preserve">The main engineering lesson is that the shared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should have been introduced earlier. The first analytical tools were initially implemented with duplicated cache, persistence, and observability logic; refactoring them into one pipeline reduced later implementation risk and made the comparative study easier to run.</w:t>
      </w:r>
    </w:p>
    <w:p>
      <w:pPr>
        <w:pStyle w:val="BodyText"/>
        <w:spacing w:line="312" w:lineRule="auto" w:after="80"/>
        <w:ind w:firstLine="283"/>
        <w:jc w:val="both"/>
      </w:pPr>
      <w:r>
        <w:rPr>
          <w:rFonts w:ascii="Times New Roman" w:hAnsi="Times New Roman" w:eastAsia="Times New Roman" w:cs="Times New Roman"/>
          <w:color w:val="000000"/>
          <w:sz w:val="24"/>
        </w:rPr>
        <w:t xml:space="preserve">The main research lesson is that a deterministic baseline should be measured rather than treated as a fallback of last resort. Before the comparison, heuristic mode existed mainly as a reliability mechanism. After the study, it can be described more precisely: weaker on prose-quality judgement, but strong enough on aggregate scoring to justify its place in the deployed system.</w:t>
      </w:r>
    </w:p>
    <w:bookmarkEnd w:id="115"/>
    <w:bookmarkStart w:id="116" w:name="limitations"/>
    <w:p>
      <w:pPr>
        <w:pStyle w:val="Heading2"/>
        <w:spacing w:line="312" w:lineRule="auto" w:after="80"/>
        <w:ind w:firstLine="283"/>
        <w:jc w:val="both"/>
      </w:pPr>
      <w:r>
        <w:rPr>
          <w:rFonts w:ascii="Times New Roman" w:hAnsi="Times New Roman" w:eastAsia="Times New Roman" w:cs="Times New Roman"/>
          <w:color w:val="000000"/>
          <w:sz w:val="24"/>
        </w:rPr>
        <w:t xml:space="preserve">5.2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empirical claim is bounded by the evaluation design. The dataset 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(English) and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single-author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30 resumes were synthesised by one author), so the result is a within-author baseline rather than a cross-population hiring claim. The blended mode uses a</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Google Vertex AI Gemini 2.5 Flash, and should not be assumed to behave identically with Claude, GPT, Llama, or another hosted model.</w:t>
      </w:r>
    </w:p>
    <w:p>
      <w:pPr>
        <w:pStyle w:val="BodyText"/>
        <w:spacing w:line="312" w:lineRule="auto" w:after="80"/>
        <w:ind w:firstLine="283"/>
        <w:jc w:val="both"/>
      </w:pPr>
      <w:r>
        <w:rPr>
          <w:rFonts w:ascii="Times New Roman" w:hAnsi="Times New Roman" w:eastAsia="Times New Roman" w:cs="Times New Roman"/>
          <w:color w:val="000000"/>
          <w:sz w:val="24"/>
        </w:rPr>
        <w:t xml:space="preserve">Two operational limits also remain. First, the in-memory cache is not shared between processes; this is acceptable for thesis-scope traffic but not for larger production scale. Second, the implemented system covers skills and experience but does not yet model temporal job-market trends such as posting-frequency shifts, regional demand changes, or hiring-rate dynamics.</w:t>
      </w:r>
    </w:p>
    <w:p>
      <w:pPr>
        <w:pStyle w:val="BodyText"/>
        <w:spacing w:line="312" w:lineRule="auto" w:after="80"/>
        <w:ind w:firstLine="283"/>
        <w:jc w:val="both"/>
      </w:pPr>
      <w:r>
        <w:rPr>
          <w:rFonts w:ascii="Times New Roman" w:hAnsi="Times New Roman" w:eastAsia="Times New Roman" w:cs="Times New Roman"/>
          <w:color w:val="000000"/>
          <w:sz w:val="24"/>
        </w:rPr>
        <w:t xml:space="preserve">Finally, the system is a thesis demonstration rather than a sustainable commercial product. The monetisation strategy described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docs/spec.md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deliberately deferred to a post-thesis V1.1 release and is not evaluated here.</w:t>
      </w:r>
    </w:p>
    <w:p>
      <w:pPr>
        <w:pStyle w:val="BodyText"/>
        <w:spacing w:line="312" w:lineRule="auto" w:after="80"/>
        <w:ind w:firstLine="283"/>
        <w:jc w:val="both"/>
      </w:pPr>
      <w:r>
        <w:rPr>
          <w:rFonts w:ascii="Times New Roman" w:hAnsi="Times New Roman" w:eastAsia="Times New Roman" w:cs="Times New Roman"/>
          <w:color w:val="000000"/>
          <w:sz w:val="24"/>
        </w:rPr>
        <w:t xml:space="preserve">The fairness limitation is separate from those operational issues. Automated hiring tools can reproduce or amplify bias when resume content, model training data, or historical decisions correlate with protected attributes [22, 23, 24]. The present benchmark has no demographic labels, so disparate-impact diagnostics cannot be computed.</w:t>
      </w:r>
    </w:p>
    <w:p>
      <w:pPr>
        <w:pStyle w:val="BodyText"/>
        <w:spacing w:line="312" w:lineRule="auto" w:after="80"/>
        <w:ind w:firstLine="283"/>
        <w:jc w:val="both"/>
      </w:pPr>
      <w:r>
        <w:rPr>
          <w:rFonts w:ascii="Times New Roman" w:hAnsi="Times New Roman" w:eastAsia="Times New Roman" w:cs="Times New Roman"/>
          <w:color w:val="000000"/>
          <w:sz w:val="24"/>
        </w:rPr>
        <w:t xml:space="preserve">A further methodological limitation is that the evaluation measures score agreement rather than downstream user outcomes. The study shows how closely two scoring modes track each other on the synthetic benchmark, but it does not measure whether candidates rewrite better resumes, receive more interviews, or make better career decisions after using the system. Those outcomes would require a longitudinal user study with consented participants, which is outside the thesis schedule.</w:t>
      </w:r>
    </w:p>
    <w:bookmarkEnd w:id="116"/>
    <w:bookmarkStart w:id="117" w:name="future-development"/>
    <w:p>
      <w:pPr>
        <w:pStyle w:val="Heading2"/>
        <w:spacing w:line="312" w:lineRule="auto" w:after="80"/>
        <w:ind w:firstLine="283"/>
        <w:jc w:val="both"/>
      </w:pPr>
      <w:r>
        <w:rPr>
          <w:rFonts w:ascii="Times New Roman" w:hAnsi="Times New Roman" w:eastAsia="Times New Roman" w:cs="Times New Roman"/>
          <w:color w:val="000000"/>
          <w:sz w:val="24"/>
        </w:rPr>
        <w:t xml:space="preserve">5.3 Future development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Future work follows directly from these limitations.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Polish-language coverage.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is multilingual, but the current bundled subset uses English labels. Adding Polish labels would make the system more relevant to a Wrocław-based deployment. The required change is contained: language detection, Polish-aware preprocessing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quality_signals_v2.py</w:t>
      </w:r>
      <w:r>
        <w:rPr>
          <w:rFonts w:ascii="Times New Roman" w:hAnsi="Times New Roman" w:eastAsia="Times New Roman" w:cs="Times New Roman"/>
          <w:color w:val="000000"/>
          <w:sz w:val="24"/>
        </w:rPr>
        <w:t xml:space="preserve">, and locale-specific prompt branches.</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would also test whether the top-down ESCO strategy remains robust when resumes mix Polish headings, English technical skills, and hybrid phrasing common in local technology roles. The architecture separates preprocessing, prompt construction, and scoring, so the work is mainly data and language handling rather than a new system design.</w:t>
      </w:r>
    </w:p>
    <w:p>
      <w:pPr>
        <w:pStyle w:val="BodyText"/>
        <w:spacing w:line="312" w:lineRule="auto" w:after="80"/>
        <w:ind w:firstLine="283"/>
        <w:jc w:val="both"/>
      </w:pPr>
      <w:r>
        <w:rPr>
          <w:rFonts w:ascii="Times New Roman" w:hAnsi="Times New Roman" w:eastAsia="Times New Roman" w:cs="Times New Roman"/>
          <w:color w:val="000000"/>
          <w:sz w:val="24"/>
        </w:rPr>
        <w:t xml:space="preserve">The Polish extension should not be treated as a translation-only task. Resume section labels, education terminology, contract types, and local job-title conventions differ from English examples, and technical resumes often mix languages in one document. A useful implementation would therefore combine ESCO label expansion with Polish section detection and bilingual prompt evaluation.</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Sentence-transformer intermediate tier.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third scoring mode could sit between strict classical IR and full LLM inference: a sentence-transformer semantic matcher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[20, 21]. Stage H tested this idea as an ablation, but on the synthetic benchmark the SBERT-only variant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versus v2) and the full v3 stack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These results suggest that promotion to production should wait for evaluation on real-world resumes and job descriptions with more prose variation than the synthetic templates expose.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Retrieval-augmented 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could retrieve curated labour-market documents, ESCO occupation descriptions, salary surveys, or role-progression standards before invoking the LLM [25]. This would make recommendations more source-attributed without changing the persistence model or response contracts.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direction is the most product-facing one. It addresses the limitation that current recommendations are reasoned from the resume and job description but are not grounded in external labour-market evidence. A retrieval stage would let the system cite recent documents while preserving the existing LLM response shape.</w:t>
      </w:r>
    </w:p>
    <w:p>
      <w:pPr>
        <w:pStyle w:val="BodyText"/>
        <w:spacing w:line="312" w:lineRule="auto" w:after="80"/>
        <w:ind w:firstLine="283"/>
        <w:jc w:val="both"/>
      </w:pPr>
      <w:r>
        <w:rPr>
          <w:rFonts w:ascii="Times New Roman" w:hAnsi="Times New Roman" w:eastAsia="Times New Roman" w:cs="Times New Roman"/>
          <w:color w:val="000000"/>
          <w:sz w:val="24"/>
        </w:rPr>
        <w:t xml:space="preserve">The retrieval layer would also help with the approved-topic phrase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 job-market trends”</w:t>
      </w:r>
      <w:r>
        <w:rPr>
          <w:rFonts w:ascii="Times New Roman" w:hAnsi="Times New Roman" w:eastAsia="Times New Roman" w:cs="Times New Roman"/>
          <w:color w:val="000000"/>
          <w:sz w:val="24"/>
        </w:rPr>
        <w:t xml:space="preserve">. Instead of asking the LLM to infer market context from its pretraining, the system could retrieve recent, source-attributed evidence and attach it to the recommendation. This would make the trend dimension auditable in a way that the present static job-description comparison is not.</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Redis-backed cache.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Replacing the in-memory cache with Redis would allow cache sharing across backend processes and is the smallest operational upgrade once traffic exceeds a single-instance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This change would preserve the current cache-key design while moving storage out of process memory. It would also make latency measurements easier to interpret in a scaled deployment because cache hits would not depend on which backend worker received the request.</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contributions are therefore an integrated deployed career-support system, a transparent non-neural heuristic baseline, and a measured comparison of that baseline against a language-model-augmented mode on score agreement, latency, and cost. The live deployment and administrative scoring-mode endpoint remain available for diploma-defence demonstration.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That broader evaluation set would be the natural bridge from a Bachelor-level engineering thesis to a Master’s-level research project. It would allow the same architecture and scoring modes to be tested under less synthetic language variation, with demographic safeguards and real user outcomes added to the evaluation design.</w:t>
      </w:r>
    </w:p>
    <w:bookmarkEnd w:id="117"/>
    <w:bookmarkEnd w:id="118"/>
    <w:bookmarkStart w:id="129" w:name="bibliography"/>
    <w:p>
      <w:pPr>
        <w:pStyle w:val="Heading1"/>
        <w:spacing w:line="312" w:lineRule="auto" w:after="80"/>
        <w:ind w:firstLine="283"/>
        <w:jc w:val="both"/>
      </w:pPr>
      <w:r>
        <w:rPr>
          <w:rFonts w:ascii="Times New Roman" w:hAnsi="Times New Roman" w:eastAsia="Times New Roman" w:cs="Times New Roman"/>
          <w:color w:val="000000"/>
          <w:sz w:val="24"/>
        </w:rPr>
        <w:t xml:space="preserve">Bibliography</w:t>
      </w:r>
    </w:p>
    <w:bookmarkStart w:id="119" w:name="Xe524d447c5cf25a4d8e2fc35a266a2d3c4bfbe5"/>
    <w:p>
      <w:pPr>
        <w:pStyle w:val="Heading2"/>
        <w:spacing w:line="312" w:lineRule="auto" w:after="8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312" w:lineRule="auto" w:after="8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312" w:lineRule="auto" w:after="8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312" w:lineRule="auto" w:after="80"/>
        <w:jc w:val="both"/>
      </w:pPr>
      <w:r>
        <w:rPr>
          <w:rFonts w:ascii="Times New Roman" w:hAnsi="Times New Roman" w:eastAsia="Times New Roman" w:cs="Times New Roman"/>
          <w:color w:val="000000"/>
          <w:sz w:val="24"/>
        </w:rPr>
        <w:t xml:space="preserve">[3] A. M. Rahmani, B. Rezazadeh, M. Haghparast, W.-C. Chang, and S. G. Ting,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“Applications of artificial intelligence in the economy, including applications in stock trading, market analysis, and risk management,”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Access</w:t>
      </w:r>
      <w:r>
        <w:rPr>
          <w:rFonts w:ascii="Times New Roman" w:hAnsi="Times New Roman" w:eastAsia="Times New Roman" w:cs="Times New Roman"/>
          <w:color w:val="000000"/>
          <w:sz w:val="24"/>
        </w:rPr>
        <w:t xml:space="preserve">, vol. 11, pp. 80769–80793, 2023. https://doi.org/10.1109/ACCESS.2023.3300036</w:t>
      </w:r>
    </w:p>
    <w:p>
      <w:pPr>
        <w:pStyle w:val="BodyText"/>
        <w:spacing w:line="312" w:lineRule="auto" w:after="8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9"/>
    <w:bookmarkStart w:id="120" w:name="foundational-information-retrieval"/>
    <w:p>
      <w:pPr>
        <w:pStyle w:val="Heading2"/>
        <w:spacing w:line="312" w:lineRule="auto" w:after="8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312" w:lineRule="auto" w:after="8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312" w:lineRule="auto" w:after="8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312" w:lineRule="auto" w:after="8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20"/>
    <w:bookmarkStart w:id="121" w:name="Xdd898e929631c1ac7dcaafa863450eac8c4687c"/>
    <w:p>
      <w:pPr>
        <w:pStyle w:val="Heading2"/>
        <w:spacing w:line="312" w:lineRule="auto" w:after="8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312" w:lineRule="auto" w:after="8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312" w:lineRule="auto" w:after="8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312" w:lineRule="auto" w:after="8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312" w:lineRule="auto" w:after="8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312" w:lineRule="auto" w:after="8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312" w:lineRule="auto" w:after="8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21"/>
    <w:bookmarkStart w:id="122" w:name="X1796bfef32d736987f1174fc0e433d96cea39d8"/>
    <w:p>
      <w:pPr>
        <w:pStyle w:val="Heading2"/>
        <w:spacing w:line="312" w:lineRule="auto" w:after="8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312" w:lineRule="auto" w:after="8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22"/>
    <w:bookmarkStart w:id="123" w:name="ai-based-career-recommendation-systems"/>
    <w:p>
      <w:pPr>
        <w:pStyle w:val="Heading2"/>
        <w:spacing w:line="312" w:lineRule="auto" w:after="8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312" w:lineRule="auto" w:after="8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23"/>
    <w:bookmarkStart w:id="124" w:name="large-language-models-in-recruitment"/>
    <w:p>
      <w:pPr>
        <w:pStyle w:val="Heading2"/>
        <w:spacing w:line="312" w:lineRule="auto" w:after="8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312" w:lineRule="auto" w:after="8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312" w:lineRule="auto" w:after="8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312" w:lineRule="auto" w:after="8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312" w:lineRule="auto" w:after="8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24"/>
    <w:bookmarkStart w:id="125" w:name="Xe3796102e15fa10b5c24e38851c753906160937"/>
    <w:p>
      <w:pPr>
        <w:pStyle w:val="Heading2"/>
        <w:spacing w:line="312" w:lineRule="auto" w:after="8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312" w:lineRule="auto" w:after="8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312" w:lineRule="auto" w:after="8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5"/>
    <w:bookmarkStart w:id="126" w:name="bias-and-fairness-in-algorithmic-hiring"/>
    <w:p>
      <w:pPr>
        <w:pStyle w:val="Heading2"/>
        <w:spacing w:line="312" w:lineRule="auto" w:after="8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312" w:lineRule="auto" w:after="8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312" w:lineRule="auto" w:after="8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312" w:lineRule="auto" w:after="8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6"/>
    <w:bookmarkStart w:id="127" w:name="retrieval-augmented-generation"/>
    <w:p>
      <w:pPr>
        <w:pStyle w:val="Heading2"/>
        <w:spacing w:line="312" w:lineRule="auto" w:after="8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312" w:lineRule="auto" w:after="8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7"/>
    <w:bookmarkStart w:id="128" w:name="web-frameworks-and-system-tooling"/>
    <w:p>
      <w:pPr>
        <w:pStyle w:val="Heading2"/>
        <w:spacing w:line="312" w:lineRule="auto" w:after="80"/>
        <w:ind w:firstLine="283"/>
        <w:jc w:val="both"/>
      </w:pPr>
      <w:r>
        <w:rPr>
          <w:rFonts w:ascii="Times New Roman" w:hAnsi="Times New Roman" w:eastAsia="Times New Roman" w:cs="Times New Roman"/>
          <w:color w:val="000000"/>
          <w:sz w:val="24"/>
        </w:rPr>
        <w:t xml:space="preserve">10. Web frameworks and system tooling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Documentation references for the engineering chapters; kept separate from the numbered academic bibliography because they document implementation APIs rather than research claims.</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Resend transactional email API. https://resend.com/docs</w:t>
      </w:r>
    </w:p>
    <w:bookmarkEnd w:id="128"/>
    <w:bookmarkEnd w:id="129"/>
    <w:bookmarkStart w:id="161" w:name="appendices"/>
    <w:p>
      <w:pPr>
        <w:pStyle w:val="Heading1"/>
        <w:spacing w:line="312" w:lineRule="auto" w:after="80"/>
        <w:ind w:firstLine="283"/>
        <w:jc w:val="both"/>
      </w:pPr>
      <w:r>
        <w:rPr>
          <w:rFonts w:ascii="Times New Roman" w:hAnsi="Times New Roman" w:eastAsia="Times New Roman" w:cs="Times New Roman"/>
          <w:color w:val="000000"/>
          <w:sz w:val="24"/>
        </w:rPr>
        <w:t xml:space="preserve">Appendices</w:t>
      </w:r>
    </w:p>
    <w:bookmarkStart w:id="134" w:name="appendix-a-source-listings"/>
    <w:p>
      <w:pPr>
        <w:pStyle w:val="Heading2"/>
        <w:spacing w:line="312" w:lineRule="auto" w:after="80"/>
        <w:ind w:firstLine="283"/>
        <w:jc w:val="both"/>
      </w:pPr>
      <w:r>
        <w:rPr>
          <w:rFonts w:ascii="Times New Roman" w:hAnsi="Times New Roman" w:eastAsia="Times New Roman" w:cs="Times New Roman"/>
          <w:color w:val="000000"/>
          <w:sz w:val="24"/>
        </w:rPr>
        <w:t xml:space="preserve">Appendix A — Source listings</w:t>
      </w:r>
    </w:p>
    <w:p>
      <w:pPr>
        <w:pStyle w:val="BlockText"/>
        <w:spacing w:line="312" w:lineRule="auto" w:after="8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30" w:name="X815009366af60fa4723a257df1c3cfaaf97a2fb"/>
    <w:p>
      <w:pPr>
        <w:pStyle w:val="Heading3"/>
        <w:spacing w:line="312" w:lineRule="auto" w:after="8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312" w:lineRule="auto" w:after="8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build_resume_prepass_v2(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target_role_label: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ResumePrepassV2: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text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resume_text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sections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_detect_sections(text)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bullets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[m.group(</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_BULLET_RE.finditer(text)]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tokens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_tokenize(text)</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resume_skills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_normalise_skills(text)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missing: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matched_locations: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fuzzy_count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(full body in the source file; see Section 4.2 of the thesis for the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accompanying methodological description)</w:t>
      </w:r>
    </w:p>
    <w:bookmarkEnd w:id="130"/>
    <w:bookmarkStart w:id="131" w:name="a.2-bm25-scoring"/>
    <w:p>
      <w:pPr>
        <w:pStyle w:val="Heading3"/>
        <w:spacing w:line="312" w:lineRule="auto" w:after="80"/>
        <w:ind w:firstLine="283"/>
        <w:jc w:val="both"/>
      </w:pPr>
      <w:r>
        <w:rPr>
          <w:rFonts w:ascii="Times New Roman" w:hAnsi="Times New Roman" w:eastAsia="Times New Roman" w:cs="Times New Roman"/>
          <w:color w:val="000000"/>
          <w:sz w:val="24"/>
        </w:rPr>
        <w:t xml:space="preserve">A.2 BM25 scoring</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312" w:lineRule="auto" w:after="8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_bm25_score(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int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query_terms: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idf: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avg_dl: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350.0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k1: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1.5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0.75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"""Standard BM25 score of a query against a single document's term-frequencies."""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sum</w:t>
      </w:r>
      <w:r>
        <w:rPr>
          <w:rStyle w:val="NormalTok"/>
          <w:rFonts w:ascii="Times New Roman" w:hAnsi="Times New Roman" w:eastAsia="Times New Roman" w:cs="Times New Roman"/>
          <w:color w:val="000000"/>
          <w:sz w:val="24"/>
        </w:rPr>
        <w:t xml:space="preserve">(resume_tf.values())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term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resume_tf.get(term,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continue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idf.get(term, math.log((</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norm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avg_dl))</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norm</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score</w:t>
      </w:r>
    </w:p>
    <w:bookmarkEnd w:id="131"/>
    <w:bookmarkStart w:id="132" w:name="a.3-runtime-mode-toggle"/>
    <w:p>
      <w:pPr>
        <w:pStyle w:val="Heading3"/>
        <w:spacing w:line="312" w:lineRule="auto" w:after="80"/>
        <w:ind w:firstLine="283"/>
        <w:jc w:val="both"/>
      </w:pPr>
      <w:r>
        <w:rPr>
          <w:rFonts w:ascii="Times New Roman" w:hAnsi="Times New Roman" w:eastAsia="Times New Roman" w:cs="Times New Roman"/>
          <w:color w:val="000000"/>
          <w:sz w:val="24"/>
        </w:rPr>
        <w:t xml:space="preserve">A.3 Runtime mode toggle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spacing w:line="312" w:lineRule="auto" w:after="80"/>
        <w:ind w:firstLine="283"/>
        <w:jc w:val="both"/>
      </w:pPr>
      <w:r>
        <w:rPr>
          <w:rStyle w:val="NormalTok"/>
          <w:rFonts w:ascii="Times New Roman" w:hAnsi="Times New Roman" w:eastAsia="Times New Roman" w:cs="Times New Roman"/>
          <w:color w:val="000000"/>
          <w:sz w:val="24"/>
        </w:rPr>
        <w:t xml:space="preserve">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Literal[</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_VALID_MODES: </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_initial_mode: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configured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getattr</w:t>
      </w:r>
      <w:r>
        <w:rPr>
          <w:rStyle w:val="NormalTok"/>
          <w:rFonts w:ascii="Times New Roman" w:hAnsi="Times New Roman" w:eastAsia="Times New Roman" w:cs="Times New Roman"/>
          <w:color w:val="000000"/>
          <w:sz w:val="24"/>
        </w:rPr>
        <w:t xml:space="preserve">(settings, </w:t>
      </w:r>
      <w:r>
        <w:rPr>
          <w:rStyle w:val="StringTok"/>
          <w:rFonts w:ascii="Times New Roman" w:hAnsi="Times New Roman" w:eastAsia="Times New Roman" w:cs="Times New Roman"/>
          <w:color w:val="000000"/>
          <w:sz w:val="24"/>
        </w:rPr>
        <w:t xml:space="preserve">"SCORING_MODE"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configured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_initial_mode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configured</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_current_mode: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_initial_mode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get_scoring_mode()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set_scoring_mode(mode: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global</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mode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raise</w:t>
      </w:r>
      <w:r>
        <w:rPr>
          <w:rStyle w:val="NormalTok"/>
          <w:rFonts w:ascii="Times New Roman" w:hAnsi="Times New Roman" w:eastAsia="Times New Roman" w:cs="Times New Roman"/>
          <w:color w:val="000000"/>
          <w:sz w:val="24"/>
        </w:rPr>
        <w:t xml:space="preserve"> </w:t>
      </w:r>
      <w:r>
        <w:rPr>
          <w:rStyle w:val="PreprocessorTok"/>
          <w:rFonts w:ascii="Times New Roman" w:hAnsi="Times New Roman" w:eastAsia="Times New Roman" w:cs="Times New Roman"/>
          <w:color w:val="000000"/>
          <w:sz w:val="24"/>
        </w:rPr>
        <w:t xml:space="preserve">ValueError</w:t>
      </w:r>
      <w:r>
        <w:rPr>
          <w:rStyle w:val="NormalTok"/>
          <w:rFonts w:ascii="Times New Roman" w:hAnsi="Times New Roman" w:eastAsia="Times New Roman" w:cs="Times New Roman"/>
          <w:color w:val="000000"/>
          <w:sz w:val="24"/>
        </w:rPr>
        <w:t xml:space="preserve">(</w:t>
      </w:r>
      <w:r>
        <w:rPr>
          <w:rStyle w:val="SpecialStringTok"/>
          <w:rFonts w:ascii="Times New Roman" w:hAnsi="Times New Roman" w:eastAsia="Times New Roman" w:cs="Times New Roman"/>
          <w:color w:val="000000"/>
          <w:sz w:val="24"/>
        </w:rPr>
        <w:t xml:space="preserve">f"unknown scoring mode: </w:t>
      </w:r>
      <w:r>
        <w:rPr>
          <w:rStyle w:val="SpecialCha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mode</w:t>
      </w:r>
      <w:r>
        <w:rPr>
          <w:rStyle w:val="SpecialCharTok"/>
          <w:rFonts w:ascii="Times New Roman" w:hAnsi="Times New Roman" w:eastAsia="Times New Roman" w:cs="Times New Roman"/>
          <w:color w:val="000000"/>
          <w:sz w:val="24"/>
        </w:rPr>
        <w:t xml:space="preserve">!r}</w:t>
      </w:r>
      <w:r>
        <w:rPr>
          <w:rStyle w:val="SpecialString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_current_mode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p>
    <w:bookmarkEnd w:id="132"/>
    <w:bookmarkStart w:id="133" w:name="a.4-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A.4 Shared tool pipeline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spacing w:line="312" w:lineRule="auto" w:after="80"/>
        <w:ind w:firstLine="283"/>
        <w:jc w:val="both"/>
      </w:pPr>
      <w:r>
        <w:rPr>
          <w:rStyle w:val="ControlFlowTok"/>
          <w:rFonts w:ascii="Times New Roman" w:hAnsi="Times New Roman" w:eastAsia="Times New Roman" w:cs="Times New Roman"/>
          <w:color w:val="000000"/>
          <w:sz w:val="24"/>
        </w:rPr>
        <w:t xml:space="preserve">async</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run_tool_pipeline(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tool_name: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service_fn: Callable[..., Awaitable[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service_kwargs: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label_fn: Callable[[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feedback: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parent_run_id: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workspace_id: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linked_context_ids: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current_user: User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db: Session,</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cache_extra_keys: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"""Shared pipeline: sanitize -&gt; cache -&gt; service -&gt; fallback -&gt; persist -&gt; respond."""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(sanitisation, cache lookup, service call, persistence, observability)</w:t>
      </w:r>
    </w:p>
    <w:bookmarkEnd w:id="133"/>
    <w:bookmarkEnd w:id="134"/>
    <w:bookmarkStart w:id="139" w:name="Xe2691035b1ea9be44987f1df6fe865ef1936dcd"/>
    <w:p>
      <w:pPr>
        <w:pStyle w:val="Heading2"/>
        <w:spacing w:line="312" w:lineRule="auto" w:after="80"/>
        <w:ind w:firstLine="283"/>
        <w:jc w:val="both"/>
      </w:pPr>
      <w:r>
        <w:rPr>
          <w:rFonts w:ascii="Times New Roman" w:hAnsi="Times New Roman" w:eastAsia="Times New Roman" w:cs="Times New Roman"/>
          <w:color w:val="000000"/>
          <w:sz w:val="24"/>
        </w:rPr>
        <w:t xml:space="preserve">Appendix B — Evaluation dataset description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5" w:name="b.1-resume-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312" w:lineRule="auto" w:after="8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5"/>
    <w:bookmarkStart w:id="136" w:name="b.2-job-description-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6"/>
    <w:bookmarkStart w:id="137" w:name="b.3-pair-construction"/>
    <w:p>
      <w:pPr>
        <w:pStyle w:val="Heading3"/>
        <w:spacing w:line="312" w:lineRule="auto" w:after="80"/>
        <w:ind w:firstLine="283"/>
        <w:jc w:val="both"/>
      </w:pPr>
      <w:r>
        <w:rPr>
          <w:rFonts w:ascii="Times New Roman" w:hAnsi="Times New Roman" w:eastAsia="Times New Roman" w:cs="Times New Roman"/>
          <w:color w:val="000000"/>
          <w:sz w:val="24"/>
        </w:rPr>
        <w:t xml:space="preserve">B.3 Pair construction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7"/>
    <w:bookmarkStart w:id="138" w:name="b.4-pair-manifest"/>
    <w:p>
      <w:pPr>
        <w:pStyle w:val="Heading3"/>
        <w:spacing w:line="312" w:lineRule="auto" w:after="80"/>
        <w:ind w:firstLine="283"/>
        <w:jc w:val="both"/>
      </w:pPr>
      <w:r>
        <w:rPr>
          <w:rFonts w:ascii="Times New Roman" w:hAnsi="Times New Roman" w:eastAsia="Times New Roman" w:cs="Times New Roman"/>
          <w:color w:val="000000"/>
          <w:sz w:val="24"/>
        </w:rPr>
        <w:t xml:space="preserve">B.4 Pair manifest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8"/>
    <w:bookmarkEnd w:id="139"/>
    <w:bookmarkStart w:id="156" w:name="Xa5e1eb6ef87c5a83e8c05d91d91fb5c96834f8e"/>
    <w:p>
      <w:pPr>
        <w:pStyle w:val="Heading2"/>
        <w:spacing w:line="312" w:lineRule="auto" w:after="80"/>
        <w:ind w:firstLine="283"/>
        <w:jc w:val="both"/>
      </w:pPr>
      <w:r>
        <w:rPr>
          <w:rFonts w:ascii="Times New Roman" w:hAnsi="Times New Roman" w:eastAsia="Times New Roman" w:cs="Times New Roman"/>
          <w:color w:val="000000"/>
          <w:sz w:val="24"/>
        </w:rPr>
        <w:t xml:space="preserve">Appendix C — Screenshots of the running system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43" w:name="c.1-landing-page"/>
    <w:p>
      <w:pPr>
        <w:pStyle w:val="Heading3"/>
        <w:spacing w:line="312" w:lineRule="auto" w:after="80"/>
        <w:ind w:firstLine="283"/>
        <w:jc w:val="both"/>
      </w:pPr>
      <w:r>
        <w:rPr>
          <w:rFonts w:ascii="Times New Roman" w:hAnsi="Times New Roman" w:eastAsia="Times New Roman" w:cs="Times New Roman"/>
          <w:color w:val="000000"/>
          <w:sz w:val="24"/>
        </w:rPr>
        <w:t xml:space="preserve">C.1 Landing page</w:t>
      </w:r>
    </w:p>
    <w:p>
      <w:pPr>
        <w:pStyle w:val="CaptionedFigure"/>
        <w:keepNext/>
        <w:spacing w:before="60" w:after="40"/>
        <w:jc w:val="center"/>
      </w:pPr>
      <w:r>
        <w:drawing>
          <wp:inline>
            <wp:extent cx="4031999" cy="2267999"/>
            <wp:effectExtent b="0" l="0" r="0" t="0"/>
            <wp:docPr descr="Figure C.1 — Career Workbench landing page (signed-out, production deployment)." title="" id="141" name="Picture"/>
            <a:graphic>
              <a:graphicData uri="http://schemas.openxmlformats.org/drawingml/2006/picture">
                <pic:pic>
                  <pic:nvPicPr>
                    <pic:cNvPr descr="figures/ui-01-landing.png" id="142" name="Picture"/>
                    <pic:cNvPicPr>
                      <a:picLocks noChangeArrowheads="1" noChangeAspect="1"/>
                    </pic:cNvPicPr>
                  </pic:nvPicPr>
                  <pic:blipFill>
                    <a:blip r:embed="rId140"/>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C.1 — Career Workbench landing page (signed-out, production deployment).</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43"/>
    <w:bookmarkStart w:id="147" w:name="c.2-resume-analyzer-input-page"/>
    <w:p>
      <w:pPr>
        <w:pStyle w:val="Heading3"/>
        <w:spacing w:line="312" w:lineRule="auto" w:after="80"/>
        <w:ind w:firstLine="283"/>
        <w:jc w:val="both"/>
      </w:pPr>
      <w:r>
        <w:rPr>
          <w:rFonts w:ascii="Times New Roman" w:hAnsi="Times New Roman" w:eastAsia="Times New Roman" w:cs="Times New Roman"/>
          <w:color w:val="000000"/>
          <w:sz w:val="24"/>
        </w:rPr>
        <w:t xml:space="preserve">C.2 Resume Analyzer input page</w:t>
      </w:r>
    </w:p>
    <w:p>
      <w:pPr>
        <w:pStyle w:val="CaptionedFigure"/>
        <w:keepNext/>
        <w:spacing w:before="60" w:after="40"/>
        <w:jc w:val="center"/>
      </w:pPr>
      <w:r>
        <w:drawing>
          <wp:inline>
            <wp:extent cx="4031999" cy="2267999"/>
            <wp:effectExtent b="0" l="0" r="0" t="0"/>
            <wp:docPr descr="Figure C.2 — Resume Analyzer input page, guest mode." title="" id="145" name="Picture"/>
            <a:graphic>
              <a:graphicData uri="http://schemas.openxmlformats.org/drawingml/2006/picture">
                <pic:pic>
                  <pic:nvPicPr>
                    <pic:cNvPr descr="figures/ui-03-resume-input.png" id="146" name="Picture"/>
                    <pic:cNvPicPr>
                      <a:picLocks noChangeArrowheads="1" noChangeAspect="1"/>
                    </pic:cNvPicPr>
                  </pic:nvPicPr>
                  <pic:blipFill>
                    <a:blip r:embed="rId144"/>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C.2 — Resume Analyzer input page, guest mode.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7"/>
    <w:bookmarkStart w:id="151" w:name="Xe92b625608c320df0d0e71eef401fce0fea85fc"/>
    <w:p>
      <w:pPr>
        <w:pStyle w:val="Heading3"/>
        <w:spacing w:line="312" w:lineRule="auto" w:after="80"/>
        <w:ind w:firstLine="283"/>
        <w:jc w:val="both"/>
      </w:pPr>
      <w:r>
        <w:rPr>
          <w:rFonts w:ascii="Times New Roman" w:hAnsi="Times New Roman" w:eastAsia="Times New Roman" w:cs="Times New Roman"/>
          <w:color w:val="000000"/>
          <w:sz w:val="24"/>
        </w:rPr>
        <w:t xml:space="preserve">C.3 Resume Analyzer result page (blended mode)</w:t>
      </w:r>
    </w:p>
    <w:p>
      <w:pPr>
        <w:pStyle w:val="CaptionedFigure"/>
        <w:keepNext/>
        <w:spacing w:before="60" w:after="40"/>
        <w:jc w:val="center"/>
      </w:pPr>
      <w:r>
        <w:drawing>
          <wp:inline>
            <wp:extent cx="4031999" cy="4531798"/>
            <wp:effectExtent b="0" l="0" r="0" t="0"/>
            <wp:docPr descr="Figure C.3 — Resume Analyzer result page in blended mode." title="" id="149" name="Picture"/>
            <a:graphic>
              <a:graphicData uri="http://schemas.openxmlformats.org/drawingml/2006/picture">
                <pic:pic>
                  <pic:nvPicPr>
                    <pic:cNvPr descr="figures/ui-04-resume-result.png" id="150" name="Picture"/>
                    <pic:cNvPicPr>
                      <a:picLocks noChangeArrowheads="1" noChangeAspect="1"/>
                    </pic:cNvPicPr>
                  </pic:nvPicPr>
                  <pic:blipFill>
                    <a:blip r:embed="rId148"/>
                    <a:stretch>
                      <a:fillRect/>
                    </a:stretch>
                  </pic:blipFill>
                  <pic:spPr bwMode="auto">
                    <a:xfrm>
                      <a:off x="0" y="0"/>
                      <a:ext cx="4031999" cy="4531798"/>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C.3 — Resume Analyzer result page in blended mode.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51"/>
    <w:bookmarkStart w:id="155" w:name="c.4-job-match-result-page"/>
    <w:p>
      <w:pPr>
        <w:pStyle w:val="Heading3"/>
        <w:spacing w:line="312" w:lineRule="auto" w:after="80"/>
        <w:ind w:firstLine="283"/>
        <w:jc w:val="both"/>
      </w:pPr>
      <w:r>
        <w:rPr>
          <w:rFonts w:ascii="Times New Roman" w:hAnsi="Times New Roman" w:eastAsia="Times New Roman" w:cs="Times New Roman"/>
          <w:color w:val="000000"/>
          <w:sz w:val="24"/>
        </w:rPr>
        <w:t xml:space="preserve">C.4 Job Match result page</w:t>
      </w:r>
    </w:p>
    <w:p>
      <w:pPr>
        <w:pStyle w:val="CaptionedFigure"/>
        <w:keepNext/>
        <w:spacing w:before="60" w:after="40"/>
        <w:jc w:val="center"/>
      </w:pPr>
      <w:r>
        <w:drawing>
          <wp:inline>
            <wp:extent cx="4031999" cy="5520898"/>
            <wp:effectExtent b="0" l="0" r="0" t="0"/>
            <wp:docPr descr="Figure C.4 — Job Match result page on the same resume / job-description pair." title="" id="153" name="Picture"/>
            <a:graphic>
              <a:graphicData uri="http://schemas.openxmlformats.org/drawingml/2006/picture">
                <pic:pic>
                  <pic:nvPicPr>
                    <pic:cNvPr descr="figures/ui-05-job-match-result.png" id="154" name="Picture"/>
                    <pic:cNvPicPr>
                      <a:picLocks noChangeArrowheads="1" noChangeAspect="1"/>
                    </pic:cNvPicPr>
                  </pic:nvPicPr>
                  <pic:blipFill>
                    <a:blip r:embed="rId152"/>
                    <a:stretch>
                      <a:fillRect/>
                    </a:stretch>
                  </pic:blipFill>
                  <pic:spPr bwMode="auto">
                    <a:xfrm>
                      <a:off x="0" y="0"/>
                      <a:ext cx="4031999" cy="5520898"/>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C.4 — Job Match result page on the same resume / job-description pair.</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5"/>
    <w:bookmarkEnd w:id="156"/>
    <w:bookmarkStart w:id="160" w:name="appendix-d-configuration-reference"/>
    <w:p>
      <w:pPr>
        <w:pStyle w:val="Heading2"/>
        <w:spacing w:line="312" w:lineRule="auto" w:after="80"/>
        <w:ind w:firstLine="283"/>
        <w:jc w:val="both"/>
      </w:pPr>
      <w:r>
        <w:rPr>
          <w:rFonts w:ascii="Times New Roman" w:hAnsi="Times New Roman" w:eastAsia="Times New Roman" w:cs="Times New Roman"/>
          <w:color w:val="000000"/>
          <w:sz w:val="24"/>
        </w:rPr>
        <w:t xml:space="preserve">Appendix D — Configuration reference</w:t>
      </w:r>
    </w:p>
    <w:bookmarkStart w:id="157" w:name="d.1-backend-environment-variables"/>
    <w:p>
      <w:pPr>
        <w:pStyle w:val="Heading3"/>
        <w:spacing w:line="312" w:lineRule="auto" w:after="8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608"/>
        <w:gridCol w:w="3969"/>
        <w:gridCol w:w="2268"/>
      </w:tblGrid>
      <w:tr>
        <w:trPr>
          <w:tblHeader w:val="on"/>
        </w:trPr>
        <w:tc>
          <w:tcPr>
            <w:tcW w:type="dxa" w:w="260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Variable</w:t>
            </w:r>
          </w:p>
        </w:tc>
        <w:tc>
          <w:tcPr>
            <w:tcW w:type="dxa" w:w="396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tcW w:type="dxa" w:w="226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Default</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DATABASE_URL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DSN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sqlite:///./career_platform.db</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SECRET_KEY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signing secret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ACCESS_TOKEN_EXPIRE_MINUTES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REFRESH_TOKEN_EXPIRE_DAYS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Refresh-token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LLM_PROVIDER</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dispatch backend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Primary Gemini model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gemini-2.5-flash</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LLM_PRACTICE_MODEL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Cheaper model used for interview practice feedback</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 falls back to</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LLM_MODEL</w:t>
            </w:r>
            <w:r>
              <w:rPr>
                <w:rFonts w:ascii="Times New Roman" w:hAnsi="Times New Roman" w:eastAsia="Times New Roman" w:cs="Times New Roman"/>
                <w:b w:val="0"/>
                <w:color w:val="000000"/>
                <w:sz w:val="18"/>
              </w:rPr>
              <w:t xml:space="preserv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VERTEX_PROJECT_ID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Cloud project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VERTEX_LOCATION</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Vertex region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us-central1</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BLENDED_SCORING_ENABLED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Apply 60/40 LLM/heuristic blend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SCORING_MODE</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Scoring core mode (</w:t>
            </w:r>
            <w:r>
              <w:rPr>
                <w:rStyle w:val="VerbatimChar"/>
                <w:rFonts w:ascii="Times New Roman" w:hAnsi="Times New Roman" w:eastAsia="Times New Roman" w:cs="Times New Roman"/>
                <w:b w:val="0"/>
                <w:color w:val="000000"/>
                <w:sz w:val="18"/>
              </w:rPr>
              <w:t xml:space="preserve">blended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or</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heuristic</w:t>
            </w:r>
            <w:r>
              <w:rPr>
                <w:rFonts w:ascii="Times New Roman" w:hAnsi="Times New Roman" w:eastAsia="Times New Roman" w:cs="Times New Roman"/>
                <w:b w:val="0"/>
                <w:color w:val="000000"/>
                <w:sz w:val="18"/>
              </w:rPr>
              <w:t xml:space="preserve">) — added with the comparative study</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In-memory cache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RESULT_CACHE_TTL_SECONDS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Cache TTL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3600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CORS_ORIGINS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Allowed CORS origins</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localhost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defaults</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FRONTEND_URL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Canonical frontend URL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(set in production)</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GOOGLE_CLIENT_ID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GOOGLE_CLIENT_SECRET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GOOGLE_REDIRECT_URI</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OAuth</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RESEND_API_KEY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Transactional email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SENTRY_DSN</w:t>
            </w:r>
          </w:p>
        </w:tc>
        <w:tc>
          <w:tcPr>
            <w:tcW w:type="dxa" w:w="396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Error tracking</w:t>
            </w:r>
          </w:p>
        </w:tc>
        <w:tc>
          <w:tcPr>
            <w:tcW w:type="dxa" w:w="226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disables)</w:t>
            </w:r>
          </w:p>
        </w:tc>
      </w:tr>
    </w:tbl>
    <w:bookmarkEnd w:id="157"/>
    <w:bookmarkStart w:id="158" w:name="d.2-administrative-endpoints"/>
    <w:p>
      <w:pPr>
        <w:pStyle w:val="Heading3"/>
        <w:spacing w:line="312" w:lineRule="auto" w:after="8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9"/>
        </w:numPr>
        <w:spacing w:line="312" w:lineRule="auto" w:after="8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9"/>
        </w:numPr>
        <w:spacing w:line="312" w:lineRule="auto" w:after="8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response shape contains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mode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blended_weight_heuristic</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blended_weight_llm</w:t>
      </w:r>
      <w:r>
        <w:rPr>
          <w:rFonts w:ascii="Times New Roman" w:hAnsi="Times New Roman" w:eastAsia="Times New Roman" w:cs="Times New Roman"/>
          <w:color w:val="000000"/>
          <w:sz w:val="24"/>
        </w:rPr>
        <w:t xml:space="preserve">; for the default blended configuration the two weights are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0.4</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0.6</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8"/>
    <w:bookmarkStart w:id="159" w:name="d.3-running-the-evaluation-harness"/>
    <w:p>
      <w:pPr>
        <w:pStyle w:val="Heading3"/>
        <w:spacing w:line="312" w:lineRule="auto" w:after="80"/>
        <w:ind w:firstLine="283"/>
        <w:jc w:val="both"/>
      </w:pPr>
      <w:r>
        <w:rPr>
          <w:rFonts w:ascii="Times New Roman" w:hAnsi="Times New Roman" w:eastAsia="Times New Roman" w:cs="Times New Roman"/>
          <w:color w:val="000000"/>
          <w:sz w:val="24"/>
        </w:rPr>
        <w:t xml:space="preserve">D.3 Running the evaluation harness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run used:</w:t>
      </w:r>
    </w:p>
    <w:p>
      <w:pPr>
        <w:pStyle w:val="Compact"/>
        <w:numPr>
          <w:ilvl w:val="0"/>
          <w:numId w:val="1010"/>
        </w:numPr>
        <w:spacing w:line="312" w:lineRule="auto" w:after="80"/>
        <w:ind w:firstLine="283"/>
        <w:jc w:val="both"/>
      </w:pPr>
      <w:r>
        <w:rPr>
          <w:rStyle w:val="VerbatimChar"/>
          <w:rFonts w:ascii="Times New Roman" w:hAnsi="Times New Roman" w:eastAsia="Times New Roman" w:cs="Times New Roman"/>
          <w:color w:val="000000"/>
          <w:sz w:val="24"/>
        </w:rPr>
        <w:t xml:space="preserve">cd backend</w:t>
      </w:r>
    </w:p>
    <w:p>
      <w:pPr>
        <w:pStyle w:val="Compact"/>
        <w:numPr>
          <w:ilvl w:val="0"/>
          <w:numId w:val="1010"/>
        </w:numPr>
        <w:spacing w:line="312" w:lineRule="auto" w:after="80"/>
        <w:ind w:firstLine="283"/>
        <w:jc w:val="both"/>
      </w:pPr>
      <w:r>
        <w:rPr>
          <w:rStyle w:val="VerbatimChar"/>
          <w:rFonts w:ascii="Times New Roman" w:hAnsi="Times New Roman" w:eastAsia="Times New Roman" w:cs="Times New Roman"/>
          <w:color w:val="000000"/>
          <w:sz w:val="24"/>
        </w:rPr>
        <w:t xml:space="preserve">SCORING_MODE=blended RESULT_CACHE_ENABLED=false python ../scripts/eval_scoring.py</w:t>
      </w:r>
    </w:p>
    <w:p>
      <w:pPr>
        <w:pStyle w:val="Compact"/>
        <w:numPr>
          <w:ilvl w:val="0"/>
          <w:numId w:val="1010"/>
        </w:numPr>
        <w:spacing w:line="312" w:lineRule="auto" w:after="80"/>
        <w:ind w:firstLine="283"/>
        <w:jc w:val="both"/>
      </w:pPr>
      <w:r>
        <w:rPr>
          <w:rStyle w:val="VerbatimChar"/>
          <w:rFonts w:ascii="Times New Roman" w:hAnsi="Times New Roman" w:eastAsia="Times New Roman" w:cs="Times New Roman"/>
          <w:color w:val="000000"/>
          <w:sz w:val="24"/>
        </w:rPr>
        <w:t xml:space="preserve">python ../scripts/analyze_eval_results.py &gt; ../thesis/chapter-04-results.md</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prints the Markdown tables ready to paste into Chapter 4.3.</w:t>
      </w:r>
    </w:p>
    <w:bookmarkEnd w:id="159"/>
    <w:bookmarkEnd w:id="160"/>
    <w:bookmarkEnd w:id="161"/>
    <w:sectPr>
      <w:type w:val="nextPage"/>
      <w:footerReference w:type="default" r:id="rId153"/>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80" w:line="312"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3" Type="http://schemas.openxmlformats.org/officeDocument/2006/relationships/image" Target="media/rId103.png"/><Relationship Id="rId140" Type="http://schemas.openxmlformats.org/officeDocument/2006/relationships/image" Target="media/rId140.png"/><Relationship Id="rId144" Type="http://schemas.openxmlformats.org/officeDocument/2006/relationships/image" Target="media/rId144.png"/><Relationship Id="rId148" Type="http://schemas.openxmlformats.org/officeDocument/2006/relationships/image" Target="media/rId148.png"/><Relationship Id="rId152" Type="http://schemas.openxmlformats.org/officeDocument/2006/relationships/image" Target="media/rId152.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53"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2026-05-08T14:35:36Z</dcterms:created>
  <dcterms:modified xsi:type="dcterms:W3CDTF">2026-05-08T14:35:36Z</dcterms:modified>
</cp:coreProperties>
</file>

<file path=docProps/custom.xml><?xml version="1.0" encoding="utf-8"?>
<Properties xmlns="http://schemas.openxmlformats.org/officeDocument/2006/custom-properties" xmlns:vt="http://schemas.openxmlformats.org/officeDocument/2006/docPropsVTypes"/>
</file>